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sz w:val="20"/>
          <w:szCs w:val="22"/>
        </w:rPr>
      </w:pPr>
    </w:p>
    <w:p>
      <w:pPr>
        <w:jc w:val="center"/>
        <w:rPr>
          <w:rFonts w:ascii="黑体" w:hAnsi="宋体" w:eastAsia="黑体" w:cs="黑体"/>
          <w:sz w:val="40"/>
          <w:szCs w:val="40"/>
        </w:rPr>
      </w:pPr>
    </w:p>
    <w:p>
      <w:pPr>
        <w:jc w:val="center"/>
        <w:rPr>
          <w:rFonts w:ascii="黑体" w:hAnsi="宋体" w:eastAsia="黑体" w:cs="黑体"/>
          <w:sz w:val="40"/>
          <w:szCs w:val="40"/>
        </w:rPr>
      </w:pPr>
    </w:p>
    <w:p>
      <w:pPr>
        <w:jc w:val="center"/>
        <w:rPr>
          <w:rFonts w:ascii="黑体" w:hAnsi="宋体" w:eastAsia="黑体" w:cs="黑体"/>
          <w:sz w:val="40"/>
          <w:szCs w:val="40"/>
        </w:rPr>
      </w:pPr>
    </w:p>
    <w:p>
      <w:pPr>
        <w:jc w:val="center"/>
        <w:rPr>
          <w:rFonts w:ascii="黑体" w:hAnsi="宋体" w:eastAsia="黑体" w:cs="黑体"/>
          <w:sz w:val="40"/>
          <w:szCs w:val="40"/>
        </w:rPr>
      </w:pPr>
    </w:p>
    <w:p>
      <w:pPr>
        <w:jc w:val="center"/>
        <w:rPr>
          <w:rFonts w:ascii="黑体" w:hAnsi="宋体" w:eastAsia="黑体" w:cs="黑体"/>
          <w:sz w:val="40"/>
          <w:szCs w:val="40"/>
        </w:rPr>
      </w:pPr>
    </w:p>
    <w:p>
      <w:pPr>
        <w:pStyle w:val="20"/>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方正仿宋_GBK" w:hAnsi="方正仿宋_GBK" w:eastAsia="方正仿宋_GBK" w:cs="方正仿宋_GBK"/>
          <w:b w:val="0"/>
          <w:bCs w:val="0"/>
          <w:sz w:val="44"/>
          <w:szCs w:val="44"/>
        </w:rPr>
      </w:pPr>
    </w:p>
    <w:p>
      <w:pPr>
        <w:pStyle w:val="20"/>
        <w:jc w:val="center"/>
        <w:rPr>
          <w:rFonts w:hint="eastAsia" w:ascii="方正小标宋_GBK" w:hAnsi="方正小标宋_GBK" w:eastAsia="方正小标宋_GBK" w:cs="方正小标宋_GBK"/>
          <w:sz w:val="56"/>
          <w:szCs w:val="56"/>
        </w:rPr>
      </w:pPr>
      <w:bookmarkStart w:id="2" w:name="_GoBack"/>
      <w:r>
        <w:rPr>
          <w:rFonts w:hint="eastAsia" w:ascii="方正小标宋_GBK" w:hAnsi="方正小标宋_GBK" w:eastAsia="方正小标宋_GBK" w:cs="方正小标宋_GBK"/>
          <w:sz w:val="56"/>
          <w:szCs w:val="56"/>
        </w:rPr>
        <w:t>2023年度</w:t>
      </w:r>
    </w:p>
    <w:p>
      <w:pPr>
        <w:pStyle w:val="20"/>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长沙市青少年宫部门决算</w:t>
      </w:r>
    </w:p>
    <w:bookmarkEnd w:id="2"/>
    <w:p>
      <w:pPr>
        <w:pStyle w:val="20"/>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 xml:space="preserve"> </w:t>
      </w:r>
    </w:p>
    <w:p>
      <w:pPr>
        <w:pStyle w:val="20"/>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 xml:space="preserve"> </w:t>
      </w:r>
    </w:p>
    <w:p>
      <w:pPr>
        <w:pStyle w:val="20"/>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 xml:space="preserve"> </w:t>
      </w:r>
    </w:p>
    <w:p>
      <w:pPr>
        <w:jc w:val="center"/>
        <w:rPr>
          <w:rFonts w:ascii="黑体" w:hAnsi="宋体" w:eastAsia="黑体" w:cs="黑体"/>
          <w:sz w:val="48"/>
          <w:szCs w:val="48"/>
        </w:rPr>
      </w:pPr>
      <w:r>
        <w:rPr>
          <w:rFonts w:hint="eastAsia" w:ascii="黑体" w:hAnsi="宋体" w:eastAsia="黑体" w:cs="黑体"/>
          <w:sz w:val="48"/>
          <w:szCs w:val="48"/>
        </w:rPr>
        <w:t xml:space="preserve"> </w:t>
      </w:r>
    </w:p>
    <w:p>
      <w:pPr>
        <w:jc w:val="center"/>
        <w:rPr>
          <w:rFonts w:ascii="黑体" w:hAnsi="黑体" w:eastAsia="黑体" w:cs="黑体"/>
          <w:b/>
          <w:kern w:val="0"/>
          <w:sz w:val="44"/>
          <w:szCs w:val="44"/>
        </w:rPr>
      </w:pPr>
      <w:r>
        <w:rPr>
          <w:rFonts w:hint="eastAsia" w:ascii="黑体" w:hAnsi="宋体" w:eastAsia="黑体" w:cs="黑体"/>
          <w:sz w:val="48"/>
          <w:szCs w:val="48"/>
        </w:rPr>
        <w:t xml:space="preserve"> </w:t>
      </w:r>
      <w:r>
        <w:br w:type="page"/>
      </w:r>
    </w:p>
    <w:p>
      <w:pPr>
        <w:spacing w:line="580" w:lineRule="exact"/>
        <w:jc w:val="center"/>
        <w:outlineLvl w:val="1"/>
        <w:rPr>
          <w:b w:val="0"/>
          <w:bCs/>
          <w:kern w:val="0"/>
          <w:sz w:val="44"/>
          <w:szCs w:val="44"/>
        </w:rPr>
      </w:pPr>
      <w:r>
        <w:rPr>
          <w:rFonts w:hint="eastAsia" w:ascii="黑体" w:hAnsi="黑体" w:eastAsia="黑体" w:cs="黑体"/>
          <w:b w:val="0"/>
          <w:bCs/>
          <w:kern w:val="0"/>
          <w:sz w:val="44"/>
          <w:szCs w:val="44"/>
        </w:rPr>
        <w:t>目</w:t>
      </w:r>
      <w:r>
        <w:rPr>
          <w:rFonts w:hint="eastAsia" w:ascii="黑体" w:hAnsi="黑体" w:eastAsia="黑体" w:cs="黑体"/>
          <w:b w:val="0"/>
          <w:bCs/>
          <w:kern w:val="0"/>
          <w:sz w:val="44"/>
          <w:szCs w:val="44"/>
          <w:lang w:val="en-US" w:eastAsia="zh-CN"/>
        </w:rPr>
        <w:t xml:space="preserve">  </w:t>
      </w:r>
      <w:r>
        <w:rPr>
          <w:rFonts w:hint="eastAsia" w:ascii="黑体" w:hAnsi="黑体" w:eastAsia="黑体" w:cs="黑体"/>
          <w:b w:val="0"/>
          <w:bCs/>
          <w:kern w:val="0"/>
          <w:sz w:val="44"/>
          <w:szCs w:val="44"/>
        </w:rPr>
        <w:t>录</w:t>
      </w:r>
    </w:p>
    <w:p>
      <w:pPr>
        <w:spacing w:line="500" w:lineRule="exact"/>
        <w:ind w:firstLine="156" w:firstLineChars="4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第一部分  长沙市青少年宫部门概况</w:t>
      </w:r>
    </w:p>
    <w:p>
      <w:pPr>
        <w:spacing w:line="500" w:lineRule="exact"/>
        <w:ind w:firstLine="784" w:firstLineChars="245"/>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一、部门职责</w:t>
      </w:r>
    </w:p>
    <w:p>
      <w:pPr>
        <w:spacing w:line="500" w:lineRule="exact"/>
        <w:ind w:firstLine="800" w:firstLineChars="25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二、机构设置</w:t>
      </w:r>
    </w:p>
    <w:p>
      <w:pPr>
        <w:spacing w:line="500" w:lineRule="exact"/>
        <w:ind w:firstLine="156" w:firstLineChars="4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第二部分  2023年度部门决算表</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五、一般公共预算财政拨款支出决算表</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六、一般公共预算财政拨款基本支出决算明细表</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七、政府性基金预算财政拨款收入支出决算表</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八、国有资本经营预算财政拨款支出决算表</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九、财政拨款“三公”经费支出决算表</w:t>
      </w:r>
    </w:p>
    <w:p>
      <w:pPr>
        <w:spacing w:line="500" w:lineRule="exact"/>
        <w:ind w:firstLine="156" w:firstLineChars="49"/>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第三部分  2023年度部门决算情况说明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七、财政拨款三公经费支出决算情况说明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八、政府性基金预算收入支出决算情况</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九、国有资本经营预算收入支出决算情况</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十、关于机关运行经费支出说明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十一、一般性支出情况说明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十二、关于政府采购支出说明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十三、关于国有资产占用情况说明</w:t>
      </w:r>
    </w:p>
    <w:p>
      <w:pPr>
        <w:spacing w:line="50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十四、关于2023年度预算绩效情况的说明</w:t>
      </w:r>
    </w:p>
    <w:p>
      <w:pPr>
        <w:spacing w:line="500" w:lineRule="exact"/>
        <w:ind w:firstLine="320" w:firstLineChars="100"/>
        <w:rPr>
          <w:rFonts w:hint="eastAsia" w:ascii="黑体" w:hAnsi="黑体" w:eastAsia="黑体" w:cs="黑体"/>
          <w:sz w:val="32"/>
          <w:szCs w:val="32"/>
        </w:rPr>
      </w:pPr>
      <w:r>
        <w:rPr>
          <w:rFonts w:hint="eastAsia" w:ascii="黑体" w:hAnsi="黑体" w:eastAsia="黑体" w:cs="黑体"/>
          <w:sz w:val="32"/>
          <w:szCs w:val="32"/>
        </w:rPr>
        <w:t>第四部分  名词解释</w:t>
      </w:r>
    </w:p>
    <w:p>
      <w:pPr>
        <w:spacing w:line="500" w:lineRule="exact"/>
        <w:ind w:firstLine="313" w:firstLineChars="98"/>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第五部分  附件</w:t>
      </w:r>
    </w:p>
    <w:p>
      <w:pPr>
        <w:rPr>
          <w:rFonts w:ascii="黑体" w:hAnsi="黑体" w:eastAsia="黑体" w:cs="黑体"/>
          <w:kern w:val="0"/>
          <w:sz w:val="32"/>
          <w:szCs w:val="32"/>
        </w:rPr>
        <w:sectPr>
          <w:pgSz w:w="11906" w:h="16838"/>
          <w:pgMar w:top="1440" w:right="1800" w:bottom="1440" w:left="1800" w:header="851" w:footer="992" w:gutter="0"/>
          <w:cols w:space="720" w:num="1"/>
          <w:docGrid w:type="lines" w:linePitch="312" w:charSpace="0"/>
        </w:sectPr>
      </w:pPr>
    </w:p>
    <w:p>
      <w:pPr>
        <w:pStyle w:val="20"/>
        <w:jc w:val="both"/>
        <w:rPr>
          <w:rFonts w:ascii="方正小标宋_GBK" w:hAnsi="方正小标宋_GBK" w:eastAsia="方正小标宋_GBK" w:cs="方正小标宋_GBK"/>
          <w:sz w:val="72"/>
          <w:szCs w:val="72"/>
        </w:rPr>
      </w:pPr>
    </w:p>
    <w:p>
      <w:pPr>
        <w:pStyle w:val="20"/>
        <w:jc w:val="center"/>
        <w:rPr>
          <w:rFonts w:ascii="方正小标宋_GBK" w:hAnsi="方正小标宋_GBK" w:eastAsia="方正小标宋_GBK" w:cs="方正小标宋_GBK"/>
          <w:sz w:val="72"/>
          <w:szCs w:val="72"/>
        </w:rPr>
      </w:pPr>
    </w:p>
    <w:p>
      <w:pPr>
        <w:pStyle w:val="20"/>
        <w:jc w:val="both"/>
        <w:rPr>
          <w:rFonts w:hint="eastAsia" w:ascii="方正小标宋_GBK" w:hAnsi="方正小标宋_GBK" w:eastAsia="方正小标宋_GBK" w:cs="方正小标宋_GBK"/>
          <w:sz w:val="56"/>
          <w:szCs w:val="56"/>
        </w:rPr>
      </w:pPr>
    </w:p>
    <w:p>
      <w:pPr>
        <w:pStyle w:val="20"/>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第一部分</w:t>
      </w:r>
    </w:p>
    <w:p>
      <w:pPr>
        <w:pStyle w:val="20"/>
        <w:jc w:val="center"/>
        <w:rPr>
          <w:rFonts w:hint="eastAsia" w:ascii="方正小标宋_GBK" w:hAnsi="方正小标宋_GBK" w:eastAsia="方正小标宋_GBK" w:cs="方正小标宋_GBK"/>
          <w:sz w:val="56"/>
          <w:szCs w:val="56"/>
        </w:rPr>
      </w:pPr>
    </w:p>
    <w:p>
      <w:pPr>
        <w:pStyle w:val="20"/>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部门概况</w:t>
      </w:r>
    </w:p>
    <w:p>
      <w:pPr>
        <w:pStyle w:val="20"/>
        <w:jc w:val="center"/>
        <w:rPr>
          <w:rFonts w:hint="eastAsia" w:ascii="方正小标宋_GBK" w:hAnsi="方正小标宋_GBK" w:eastAsia="方正小标宋_GBK" w:cs="方正小标宋_GBK"/>
          <w:sz w:val="56"/>
          <w:szCs w:val="56"/>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部门职责</w:t>
      </w:r>
    </w:p>
    <w:p>
      <w:pPr>
        <w:keepNext w:val="0"/>
        <w:keepLines w:val="0"/>
        <w:pageBreakBefore w:val="0"/>
        <w:widowControl w:val="0"/>
        <w:kinsoku/>
        <w:wordWrap/>
        <w:overflowPunct/>
        <w:topLinePunct w:val="0"/>
        <w:autoSpaceDE/>
        <w:autoSpaceDN/>
        <w:bidi w:val="0"/>
        <w:adjustRightInd/>
        <w:snapToGrid/>
        <w:spacing w:line="500" w:lineRule="exact"/>
        <w:ind w:firstLine="534" w:firstLineChars="191"/>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长沙市青少年宫的主要职责是：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    长沙市青少年宫是共青团长沙市委下属的副县级事业单位，是共青团组织开展青少年社会教育的重要阵地，是青少年成长成才、全面发展的青少年场所，是加强未成年人思想道德建设、推进素质教育、建设社会主义精神文明的重要场所，是专门面向青少年提供实践教育和社会教育活动的公共文化服务设施，是共青团、少先队组织直接服务青少年的工作平台。在教育引导青少年树立理想信念、培养法治意识、发展兴趣爱好、促进体质健康、增强创新精神、提高科学素质和实践能力、锤炼道德品质、践行社会责任、实现全面发展等方面具有重要作用。</w:t>
      </w:r>
      <w:r>
        <w:rPr>
          <w:rFonts w:ascii="Times New Roman" w:hAnsi="Times New Roman" w:eastAsia="仿宋_GB2312" w:cs="Times New Roman"/>
          <w:kern w:val="0"/>
          <w:sz w:val="28"/>
          <w:szCs w:val="28"/>
        </w:rPr>
        <w:cr/>
      </w:r>
      <w:r>
        <w:rPr>
          <w:rFonts w:hint="eastAsia" w:ascii="Times New Roman" w:hAnsi="Times New Roman" w:eastAsia="仿宋_GB2312" w:cs="Times New Roman"/>
          <w:kern w:val="0"/>
          <w:sz w:val="28"/>
          <w:szCs w:val="28"/>
        </w:rPr>
        <w:t xml:space="preserve">    主要职能：以加强思想道德教育为核心，以发展素质教育为方向，以培养青少年创新精神和实践能力为重点，强化教育引导、实践养成，通过特色鲜明的校外活动及课程体系，广泛开展思想道德、文艺体育、科学技术普及、劳动与社会实践、夏冬令营、游戏娱乐等各类活动，服务引导广大青少年快乐生活、全面发展、健康成长。</w:t>
      </w:r>
      <w:r>
        <w:rPr>
          <w:rFonts w:ascii="Times New Roman" w:hAnsi="Times New Roman" w:eastAsia="仿宋_GB2312" w:cs="Times New Roman"/>
          <w:kern w:val="0"/>
          <w:sz w:val="28"/>
          <w:szCs w:val="28"/>
        </w:rPr>
        <w:t xml:space="preserve"> </w:t>
      </w:r>
    </w:p>
    <w:p>
      <w:pPr>
        <w:pStyle w:val="21"/>
        <w:keepNext w:val="0"/>
        <w:keepLines w:val="0"/>
        <w:pageBreakBefore w:val="0"/>
        <w:widowControl w:val="0"/>
        <w:kinsoku/>
        <w:wordWrap/>
        <w:overflowPunct/>
        <w:topLinePunct w:val="0"/>
        <w:autoSpaceDE/>
        <w:autoSpaceDN/>
        <w:bidi w:val="0"/>
        <w:adjustRightInd/>
        <w:snapToGrid/>
        <w:spacing w:line="500" w:lineRule="exact"/>
        <w:ind w:left="720" w:firstLine="0" w:firstLineChars="0"/>
        <w:jc w:val="left"/>
        <w:textAlignment w:val="auto"/>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机构设置</w:t>
      </w:r>
      <w:r>
        <w:rPr>
          <w:rFonts w:hint="eastAsia" w:ascii="黑体" w:hAnsi="黑体" w:eastAsia="黑体" w:cs="黑体"/>
          <w:bCs/>
          <w:kern w:val="0"/>
          <w:sz w:val="32"/>
          <w:szCs w:val="32"/>
        </w:rPr>
        <w:t>及决算单位构成</w:t>
      </w:r>
    </w:p>
    <w:p>
      <w:pPr>
        <w:keepNext w:val="0"/>
        <w:keepLines w:val="0"/>
        <w:pageBreakBefore w:val="0"/>
        <w:widowControl w:val="0"/>
        <w:kinsoku/>
        <w:wordWrap/>
        <w:overflowPunct/>
        <w:topLinePunct w:val="0"/>
        <w:autoSpaceDE/>
        <w:autoSpaceDN/>
        <w:bidi w:val="0"/>
        <w:adjustRightInd/>
        <w:snapToGrid/>
        <w:spacing w:line="500" w:lineRule="exact"/>
        <w:ind w:firstLine="534" w:firstLineChars="191"/>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（一）内设机构设置。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    </w:t>
      </w:r>
      <w:r>
        <w:rPr>
          <w:rFonts w:hint="eastAsia" w:ascii="Times New Roman" w:hAnsi="Times New Roman" w:eastAsia="仿宋_GB2312" w:cs="Times New Roman"/>
          <w:kern w:val="0"/>
          <w:sz w:val="28"/>
          <w:szCs w:val="28"/>
          <w:lang w:val="en-US" w:eastAsia="zh-CN"/>
        </w:rPr>
        <w:t>根据单位职能，经市委编办核定，长沙市青少年宫内设机构包括：</w:t>
      </w:r>
      <w:r>
        <w:rPr>
          <w:rFonts w:hint="eastAsia" w:ascii="Times New Roman" w:hAnsi="Times New Roman" w:eastAsia="仿宋_GB2312" w:cs="Times New Roman"/>
          <w:kern w:val="0"/>
          <w:sz w:val="28"/>
          <w:szCs w:val="28"/>
        </w:rPr>
        <w:t xml:space="preserve">办公室、人力资源部、宣传部、财务部、场馆服务部、活动部、培训一部、培训二部、艺术团、拓展体验部。另设党总支专职副书记一名，负责单位党群工作。 </w:t>
      </w:r>
      <w:r>
        <w:rPr>
          <w:rFonts w:ascii="Times New Roman" w:hAnsi="Times New Roman" w:eastAsia="仿宋_GB2312" w:cs="Times New Roman"/>
          <w:kern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34" w:firstLineChars="191"/>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（二）决算单位构成。长沙市青少年宫单位2023年部门决算汇总公开单位构成包括：</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 xml:space="preserve">     长沙市青少年宫2023年部门决算汇总公开单位构成为长沙市青少年宫，无单独二级单位决算。 </w:t>
      </w:r>
      <w:r>
        <w:rPr>
          <w:rFonts w:ascii="Times New Roman" w:hAnsi="Times New Roman" w:eastAsia="仿宋_GB2312" w:cs="Times New Roman"/>
          <w:kern w:val="0"/>
          <w:sz w:val="28"/>
          <w:szCs w:val="28"/>
        </w:rPr>
        <w:t xml:space="preserve"> </w:t>
      </w:r>
    </w:p>
    <w:p>
      <w:pPr>
        <w:spacing w:line="580" w:lineRule="exact"/>
        <w:rPr>
          <w:sz w:val="20"/>
          <w:szCs w:val="22"/>
        </w:rPr>
        <w:sectPr>
          <w:pgSz w:w="11906" w:h="16838"/>
          <w:pgMar w:top="1440" w:right="1800" w:bottom="1440" w:left="1800" w:header="851" w:footer="992" w:gutter="0"/>
          <w:cols w:space="720" w:num="1"/>
          <w:docGrid w:type="lines" w:linePitch="312" w:charSpace="0"/>
        </w:sectPr>
      </w:pPr>
    </w:p>
    <w:p>
      <w:pPr>
        <w:pStyle w:val="20"/>
        <w:jc w:val="center"/>
        <w:rPr>
          <w:rFonts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pPr>
    </w:p>
    <w:p>
      <w:pPr>
        <w:pStyle w:val="20"/>
        <w:jc w:val="both"/>
        <w:rPr>
          <w:rFonts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pPr>
    </w:p>
    <w:p>
      <w:pPr>
        <w:pStyle w:val="20"/>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第二部分</w:t>
      </w:r>
    </w:p>
    <w:p>
      <w:pPr>
        <w:pStyle w:val="20"/>
        <w:jc w:val="center"/>
        <w:rPr>
          <w:rFonts w:hint="eastAsia"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sectPr>
          <w:pgSz w:w="11906" w:h="16838"/>
          <w:pgMar w:top="1440" w:right="1800" w:bottom="1440" w:left="1800" w:header="851" w:footer="992" w:gutter="0"/>
          <w:cols w:space="720" w:num="1"/>
          <w:docGrid w:type="lines" w:linePitch="312" w:charSpace="0"/>
        </w:sectPr>
      </w:pPr>
      <w:r>
        <w:rPr>
          <w:rFonts w:hint="eastAsia" w:ascii="方正小标宋_GBK" w:hAnsi="方正小标宋_GBK" w:eastAsia="方正小标宋_GBK" w:cs="方正小标宋_GBK"/>
          <w:sz w:val="56"/>
          <w:szCs w:val="56"/>
        </w:rPr>
        <w:t>部门决算表</w:t>
      </w:r>
    </w:p>
    <w:p>
      <w:pPr>
        <w:jc w:val="left"/>
        <w:rPr>
          <w:rFonts w:ascii="黑体" w:hAnsi="仿宋" w:eastAsia="黑体"/>
          <w:sz w:val="28"/>
          <w:szCs w:val="28"/>
        </w:rPr>
      </w:pPr>
      <w:r>
        <w:rPr>
          <w:rFonts w:hint="eastAsia" w:ascii="黑体" w:hAnsi="仿宋" w:eastAsia="黑体"/>
          <w:sz w:val="28"/>
          <w:szCs w:val="28"/>
        </w:rPr>
        <w:t>一、收入支出决算总表</w:t>
      </w:r>
    </w:p>
    <w:p>
      <w:pPr>
        <w:pStyle w:val="8"/>
        <w:jc w:val="center"/>
        <w:rPr>
          <w:rFonts w:ascii="黑体" w:hAnsi="仿宋" w:eastAsia="黑体"/>
          <w:sz w:val="28"/>
          <w:szCs w:val="28"/>
        </w:rPr>
      </w:pPr>
      <w:r>
        <w:rPr>
          <w:rFonts w:hint="eastAsia" w:ascii="黑体" w:hAnsi="仿宋" w:eastAsia="黑体"/>
          <w:sz w:val="28"/>
          <w:szCs w:val="28"/>
        </w:rPr>
        <w:t>收入支出决算总表</w:t>
      </w:r>
    </w:p>
    <w:tbl>
      <w:tblPr>
        <w:tblStyle w:val="1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6699"/>
        <w:gridCol w:w="2000"/>
        <w:gridCol w:w="669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wBefore w:w="0" w:type="dxa"/>
          <w:wAfter w:w="0" w:type="dxa"/>
          <w:jc w:val="center"/>
        </w:trPr>
        <w:tc>
          <w:tcPr>
            <w:tcW w:w="6699" w:type="dxa"/>
            <w:gridSpan w:val="3"/>
            <w:noWrap w:val="0"/>
            <w:vAlign w:val="top"/>
          </w:tcPr>
          <w:p>
            <w:pPr>
              <w:jc w:val="right"/>
              <w:rPr>
                <w:sz w:val="20"/>
                <w:szCs w:val="20"/>
              </w:rPr>
            </w:pPr>
            <w:r>
              <w:rPr>
                <w:rFonts w:ascii="宋体" w:hAnsi="宋体" w:cs="宋体"/>
                <w:sz w:val="20"/>
                <w:szCs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noWrap w:val="0"/>
            <w:vAlign w:val="top"/>
          </w:tcPr>
          <w:p>
            <w:pPr>
              <w:jc w:val="left"/>
              <w:rPr>
                <w:sz w:val="20"/>
                <w:szCs w:val="20"/>
              </w:rPr>
            </w:pPr>
            <w:r>
              <w:rPr>
                <w:rFonts w:ascii="宋体" w:hAnsi="宋体" w:cs="宋体"/>
                <w:sz w:val="20"/>
                <w:szCs w:val="20"/>
              </w:rPr>
              <w:t>单位：长沙市青少年宫</w:t>
            </w:r>
          </w:p>
        </w:tc>
        <w:tc>
          <w:tcPr>
            <w:tcW w:w="2000" w:type="dxa"/>
            <w:noWrap w:val="0"/>
            <w:vAlign w:val="top"/>
          </w:tcPr>
          <w:p>
            <w:pPr>
              <w:jc w:val="center"/>
              <w:rPr>
                <w:sz w:val="20"/>
                <w:szCs w:val="20"/>
              </w:rPr>
            </w:pPr>
            <w:r>
              <w:rPr>
                <w:rFonts w:ascii="宋体" w:hAnsi="宋体" w:cs="宋体"/>
                <w:sz w:val="20"/>
                <w:szCs w:val="20"/>
              </w:rPr>
              <w:t>2023年度</w:t>
            </w:r>
          </w:p>
        </w:tc>
        <w:tc>
          <w:tcPr>
            <w:tcW w:w="6699" w:type="dxa"/>
            <w:noWrap w:val="0"/>
            <w:vAlign w:val="top"/>
          </w:tcPr>
          <w:p>
            <w:pPr>
              <w:jc w:val="right"/>
              <w:rPr>
                <w:sz w:val="20"/>
                <w:szCs w:val="20"/>
              </w:rPr>
            </w:pPr>
            <w:r>
              <w:rPr>
                <w:rFonts w:ascii="宋体" w:hAnsi="宋体" w:cs="宋体"/>
                <w:sz w:val="20"/>
                <w:szCs w:val="20"/>
              </w:rPr>
              <w:t>单位：万元</w:t>
            </w:r>
          </w:p>
        </w:tc>
      </w:tr>
    </w:tbl>
    <w:p>
      <w:pPr>
        <w:snapToGrid w:val="0"/>
        <w:spacing w:line="0" w:lineRule="auto"/>
        <w:rPr>
          <w:sz w:val="21"/>
          <w:szCs w:val="21"/>
        </w:rPr>
      </w:pPr>
      <w:r>
        <w:rPr>
          <w:sz w:val="21"/>
          <w:szCs w:val="21"/>
        </w:rPr>
        <w:t xml:space="preserve"> </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620"/>
        <w:gridCol w:w="620"/>
        <w:gridCol w:w="2460"/>
        <w:gridCol w:w="4620"/>
        <w:gridCol w:w="620"/>
        <w:gridCol w:w="2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收入</w:t>
            </w:r>
          </w:p>
        </w:tc>
        <w:tc>
          <w:tcPr>
            <w:tcW w:w="462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项目</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行次</w:t>
            </w:r>
          </w:p>
        </w:tc>
        <w:tc>
          <w:tcPr>
            <w:tcW w:w="246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金额</w:t>
            </w:r>
          </w:p>
        </w:tc>
        <w:tc>
          <w:tcPr>
            <w:tcW w:w="4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项目</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行次</w:t>
            </w:r>
          </w:p>
        </w:tc>
        <w:tc>
          <w:tcPr>
            <w:tcW w:w="2458"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栏次</w:t>
            </w:r>
          </w:p>
        </w:tc>
        <w:tc>
          <w:tcPr>
            <w:tcW w:w="620" w:type="dxa"/>
            <w:noWrap w:val="0"/>
            <w:vAlign w:val="center"/>
          </w:tcPr>
          <w:p>
            <w:pPr>
              <w:rPr>
                <w:rFonts w:hint="eastAsia" w:ascii="宋体" w:hAnsi="宋体" w:eastAsia="宋体" w:cs="宋体"/>
                <w:sz w:val="21"/>
                <w:szCs w:val="21"/>
              </w:rPr>
            </w:pPr>
          </w:p>
        </w:tc>
        <w:tc>
          <w:tcPr>
            <w:tcW w:w="246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4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栏次</w:t>
            </w:r>
          </w:p>
        </w:tc>
        <w:tc>
          <w:tcPr>
            <w:tcW w:w="620" w:type="dxa"/>
            <w:noWrap w:val="0"/>
            <w:vAlign w:val="center"/>
          </w:tcPr>
          <w:p>
            <w:pPr>
              <w:rPr>
                <w:rFonts w:hint="eastAsia" w:ascii="宋体" w:hAnsi="宋体" w:eastAsia="宋体" w:cs="宋体"/>
                <w:sz w:val="21"/>
                <w:szCs w:val="21"/>
              </w:rPr>
            </w:pPr>
          </w:p>
        </w:tc>
        <w:tc>
          <w:tcPr>
            <w:tcW w:w="2458"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一、一般公共预算财政拨款收入</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一、一般公共服务支出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32</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二、政府性基金预算财政拨款收入</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二、外交支出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33</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三、国有资本经营预算财政拨款收入</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三、国防支出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34</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四、上级补助收入</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四、公共安全支出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35</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五、事业收入</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五、教育支出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36</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六、经营收入</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六、科学技术支出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37</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七、附属单位上缴收入</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7</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七、文化旅游体育与传媒支出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38</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八、其他收入</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8</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八、社会保障和就业支出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39</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9</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九、卫生健康支出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40</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10</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十、节能环保支出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41</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11</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十一、城乡社区支出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42</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12</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十二、农林水支出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43</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13</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十三、交通运输支出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44</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14</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十四、资源勘探工业信息等支出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45</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15</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十五、商业服务业等支出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46</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16</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十六、金融支出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47</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17</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十七、援助其他地区支出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48</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18</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十八、自然资源海洋气象等支出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49</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19</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十九、住房保障支出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50</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20</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二十、粮油物资储备支出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51</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21</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二十一、国有资本经营预算支出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52</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22</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二十二、灾害防治及应急管理支出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53</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23</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二十三、其他支出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54</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24</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二十四、债务还本支出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55</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25</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二十五、债务付息支出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56</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26</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二十六、抗疫特别国债安排的支出</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57</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center"/>
              <w:rPr>
                <w:rFonts w:hint="eastAsia" w:ascii="宋体" w:hAnsi="宋体" w:eastAsia="宋体" w:cs="宋体"/>
                <w:sz w:val="21"/>
                <w:szCs w:val="21"/>
              </w:rPr>
            </w:pPr>
            <w:r>
              <w:rPr>
                <w:rFonts w:hint="eastAsia" w:ascii="宋体" w:hAnsi="宋体" w:eastAsia="宋体" w:cs="宋体"/>
                <w:b/>
                <w:color w:val="000000"/>
                <w:sz w:val="21"/>
                <w:szCs w:val="21"/>
              </w:rPr>
              <w:t>本年收入合计</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27</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4620" w:type="dxa"/>
            <w:noWrap w:val="0"/>
            <w:vAlign w:val="center"/>
          </w:tcPr>
          <w:p>
            <w:pPr>
              <w:jc w:val="center"/>
              <w:rPr>
                <w:rFonts w:hint="eastAsia" w:ascii="宋体" w:hAnsi="宋体" w:eastAsia="宋体" w:cs="宋体"/>
                <w:sz w:val="21"/>
                <w:szCs w:val="21"/>
              </w:rPr>
            </w:pPr>
            <w:r>
              <w:rPr>
                <w:rFonts w:hint="eastAsia" w:ascii="宋体" w:hAnsi="宋体" w:eastAsia="宋体" w:cs="宋体"/>
                <w:b/>
                <w:color w:val="000000"/>
                <w:sz w:val="21"/>
                <w:szCs w:val="21"/>
              </w:rPr>
              <w:t>本年支出合计</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58</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使用非财政拨款结余和专用结余</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28</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结余分配</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59</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45" w:hRule="exact"/>
          <w:jc w:val="center"/>
        </w:trPr>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年初结转和结余</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29</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462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年末结转和结余</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60</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30</w:t>
            </w:r>
          </w:p>
        </w:tc>
        <w:tc>
          <w:tcPr>
            <w:tcW w:w="2460" w:type="dxa"/>
            <w:noWrap w:val="0"/>
            <w:vAlign w:val="center"/>
          </w:tcPr>
          <w:p>
            <w:pPr>
              <w:rPr>
                <w:rFonts w:hint="eastAsia" w:ascii="宋体" w:hAnsi="宋体" w:eastAsia="宋体" w:cs="宋体"/>
                <w:sz w:val="21"/>
                <w:szCs w:val="21"/>
              </w:rPr>
            </w:pPr>
          </w:p>
        </w:tc>
        <w:tc>
          <w:tcPr>
            <w:tcW w:w="4620" w:type="dxa"/>
            <w:noWrap w:val="0"/>
            <w:vAlign w:val="center"/>
          </w:tcPr>
          <w:p>
            <w:pPr>
              <w:rPr>
                <w:rFonts w:hint="eastAsia" w:ascii="宋体" w:hAnsi="宋体" w:eastAsia="宋体" w:cs="宋体"/>
                <w:sz w:val="21"/>
                <w:szCs w:val="21"/>
              </w:rPr>
            </w:pP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61</w:t>
            </w:r>
          </w:p>
        </w:tc>
        <w:tc>
          <w:tcPr>
            <w:tcW w:w="2458" w:type="dxa"/>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noWrap w:val="0"/>
            <w:vAlign w:val="center"/>
          </w:tcPr>
          <w:p>
            <w:pPr>
              <w:jc w:val="center"/>
              <w:rPr>
                <w:rFonts w:hint="eastAsia" w:ascii="宋体" w:hAnsi="宋体" w:eastAsia="宋体" w:cs="宋体"/>
                <w:sz w:val="21"/>
                <w:szCs w:val="21"/>
              </w:rPr>
            </w:pPr>
            <w:r>
              <w:rPr>
                <w:rFonts w:hint="eastAsia" w:ascii="宋体" w:hAnsi="宋体" w:eastAsia="宋体" w:cs="宋体"/>
                <w:b/>
                <w:color w:val="000000"/>
                <w:sz w:val="21"/>
                <w:szCs w:val="21"/>
              </w:rPr>
              <w:t>总计</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31</w:t>
            </w:r>
          </w:p>
        </w:tc>
        <w:tc>
          <w:tcPr>
            <w:tcW w:w="24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4620" w:type="dxa"/>
            <w:noWrap w:val="0"/>
            <w:vAlign w:val="center"/>
          </w:tcPr>
          <w:p>
            <w:pPr>
              <w:jc w:val="center"/>
              <w:rPr>
                <w:rFonts w:hint="eastAsia" w:ascii="宋体" w:hAnsi="宋体" w:eastAsia="宋体" w:cs="宋体"/>
                <w:sz w:val="21"/>
                <w:szCs w:val="21"/>
              </w:rPr>
            </w:pPr>
            <w:r>
              <w:rPr>
                <w:rFonts w:hint="eastAsia" w:ascii="宋体" w:hAnsi="宋体" w:eastAsia="宋体" w:cs="宋体"/>
                <w:b/>
                <w:color w:val="000000"/>
                <w:sz w:val="21"/>
                <w:szCs w:val="21"/>
              </w:rPr>
              <w:t>总计</w:t>
            </w:r>
          </w:p>
        </w:tc>
        <w:tc>
          <w:tcPr>
            <w:tcW w:w="6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62</w:t>
            </w:r>
          </w:p>
        </w:tc>
        <w:tc>
          <w:tcPr>
            <w:tcW w:w="24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gridSpan w:val="6"/>
            <w:tcBorders>
              <w:left w:val="single" w:color="FFFFFF" w:sz="4" w:space="0"/>
              <w:bottom w:val="single" w:color="FFFFFF" w:sz="4" w:space="0"/>
              <w:right w:val="single" w:color="FFFFFF"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注：1.本表反映部门本年度的总收支和年末结转结余情况。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92" w:hRule="exact"/>
          <w:jc w:val="center"/>
        </w:trPr>
        <w:tc>
          <w:tcPr>
            <w:tcW w:w="4620" w:type="dxa"/>
            <w:gridSpan w:val="6"/>
            <w:tcBorders>
              <w:top w:val="single" w:color="FFFFFF" w:sz="4" w:space="0"/>
              <w:left w:val="single" w:color="FFFFFF" w:sz="4" w:space="0"/>
              <w:bottom w:val="single" w:color="FFFFFF" w:sz="4" w:space="0"/>
              <w:right w:val="single" w:color="FFFFFF"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 xml:space="preserve">    2.本套报表金额单位转换时可能存在尾数误差。</w:t>
            </w:r>
          </w:p>
        </w:tc>
      </w:tr>
    </w:tbl>
    <w:p>
      <w:pPr>
        <w:snapToGrid w:val="0"/>
        <w:spacing w:before="200" w:after="200" w:line="200" w:lineRule="auto"/>
      </w:pPr>
      <w:r>
        <w:rPr>
          <w:sz w:val="21"/>
          <w:szCs w:val="21"/>
        </w:rPr>
        <w:t xml:space="preserve"> </w:t>
      </w:r>
    </w:p>
    <w:p>
      <w:pPr>
        <w:rPr>
          <w:rFonts w:ascii="黑体" w:hAnsi="仿宋" w:eastAsia="黑体"/>
          <w:sz w:val="28"/>
          <w:szCs w:val="28"/>
        </w:rPr>
      </w:pPr>
      <w:r>
        <w:br w:type="page"/>
      </w:r>
    </w:p>
    <w:p>
      <w:pPr>
        <w:spacing w:line="240" w:lineRule="atLeast"/>
        <w:jc w:val="left"/>
        <w:rPr>
          <w:rFonts w:ascii="黑体" w:hAnsi="仿宋" w:eastAsia="黑体"/>
          <w:sz w:val="28"/>
          <w:szCs w:val="28"/>
        </w:rPr>
      </w:pPr>
      <w:r>
        <w:rPr>
          <w:rFonts w:hint="eastAsia" w:ascii="黑体" w:hAnsi="仿宋" w:eastAsia="黑体"/>
          <w:sz w:val="28"/>
          <w:szCs w:val="28"/>
        </w:rPr>
        <w:t xml:space="preserve">二、收入决算表 </w:t>
      </w:r>
    </w:p>
    <w:p>
      <w:pPr>
        <w:pStyle w:val="8"/>
        <w:jc w:val="center"/>
        <w:rPr>
          <w:rFonts w:ascii="黑体" w:hAnsi="仿宋" w:eastAsia="黑体"/>
          <w:sz w:val="28"/>
          <w:szCs w:val="28"/>
        </w:rPr>
      </w:pPr>
      <w:r>
        <w:rPr>
          <w:rFonts w:hint="eastAsia" w:ascii="黑体" w:hAnsi="仿宋" w:eastAsia="黑体"/>
          <w:sz w:val="28"/>
          <w:szCs w:val="28"/>
        </w:rPr>
        <w:t>收入决算表</w:t>
      </w:r>
    </w:p>
    <w:tbl>
      <w:tblPr>
        <w:tblStyle w:val="1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6699"/>
        <w:gridCol w:w="2000"/>
        <w:gridCol w:w="669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gridSpan w:val="3"/>
            <w:noWrap w:val="0"/>
            <w:vAlign w:val="top"/>
          </w:tcPr>
          <w:p>
            <w:pPr>
              <w:jc w:val="right"/>
              <w:rPr>
                <w:rFonts w:hint="eastAsia" w:ascii="宋体" w:hAnsi="宋体" w:eastAsia="宋体" w:cs="宋体"/>
                <w:sz w:val="20"/>
                <w:szCs w:val="20"/>
              </w:rPr>
            </w:pPr>
            <w:r>
              <w:rPr>
                <w:rFonts w:hint="eastAsia" w:ascii="宋体" w:hAnsi="宋体" w:eastAsia="宋体" w:cs="宋体"/>
                <w:sz w:val="20"/>
                <w:szCs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noWrap w:val="0"/>
            <w:vAlign w:val="top"/>
          </w:tcPr>
          <w:p>
            <w:pPr>
              <w:jc w:val="left"/>
              <w:rPr>
                <w:rFonts w:hint="eastAsia" w:ascii="宋体" w:hAnsi="宋体" w:eastAsia="宋体" w:cs="宋体"/>
                <w:sz w:val="20"/>
                <w:szCs w:val="20"/>
              </w:rPr>
            </w:pPr>
            <w:r>
              <w:rPr>
                <w:rFonts w:hint="eastAsia" w:ascii="宋体" w:hAnsi="宋体" w:eastAsia="宋体" w:cs="宋体"/>
                <w:sz w:val="20"/>
                <w:szCs w:val="20"/>
              </w:rPr>
              <w:t>单位：长沙市青少年宫</w:t>
            </w:r>
          </w:p>
        </w:tc>
        <w:tc>
          <w:tcPr>
            <w:tcW w:w="2000" w:type="dxa"/>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rPr>
              <w:t>2023年度</w:t>
            </w:r>
          </w:p>
        </w:tc>
        <w:tc>
          <w:tcPr>
            <w:tcW w:w="6699" w:type="dxa"/>
            <w:noWrap w:val="0"/>
            <w:vAlign w:val="top"/>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bl>
    <w:p>
      <w:pPr>
        <w:snapToGrid w:val="0"/>
        <w:spacing w:line="0" w:lineRule="auto"/>
        <w:rPr>
          <w:rFonts w:hint="eastAsia" w:ascii="宋体" w:hAnsi="宋体" w:eastAsia="宋体" w:cs="宋体"/>
          <w:sz w:val="21"/>
          <w:szCs w:val="21"/>
        </w:rPr>
      </w:pPr>
      <w:r>
        <w:rPr>
          <w:rFonts w:hint="eastAsia" w:ascii="宋体" w:hAnsi="宋体" w:eastAsia="宋体" w:cs="宋体"/>
          <w:sz w:val="21"/>
          <w:szCs w:val="21"/>
        </w:rPr>
        <w:t xml:space="preserve"> </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0"/>
        <w:gridCol w:w="3460"/>
        <w:gridCol w:w="1580"/>
        <w:gridCol w:w="1580"/>
        <w:gridCol w:w="1580"/>
        <w:gridCol w:w="1580"/>
        <w:gridCol w:w="1580"/>
        <w:gridCol w:w="1580"/>
        <w:gridCol w:w="15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76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项目</w:t>
            </w:r>
          </w:p>
        </w:tc>
        <w:tc>
          <w:tcPr>
            <w:tcW w:w="15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本年收入合计</w:t>
            </w:r>
          </w:p>
        </w:tc>
        <w:tc>
          <w:tcPr>
            <w:tcW w:w="15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财政拨款收入</w:t>
            </w:r>
          </w:p>
        </w:tc>
        <w:tc>
          <w:tcPr>
            <w:tcW w:w="15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上级补助收入</w:t>
            </w:r>
          </w:p>
        </w:tc>
        <w:tc>
          <w:tcPr>
            <w:tcW w:w="15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事业收入</w:t>
            </w:r>
          </w:p>
        </w:tc>
        <w:tc>
          <w:tcPr>
            <w:tcW w:w="15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经营收入</w:t>
            </w:r>
          </w:p>
        </w:tc>
        <w:tc>
          <w:tcPr>
            <w:tcW w:w="15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附属单位上缴收入</w:t>
            </w:r>
          </w:p>
        </w:tc>
        <w:tc>
          <w:tcPr>
            <w:tcW w:w="1558"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科目代码</w:t>
            </w:r>
          </w:p>
        </w:tc>
        <w:tc>
          <w:tcPr>
            <w:tcW w:w="346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科目名称</w:t>
            </w: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5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vMerge w:val="continue"/>
            <w:noWrap w:val="0"/>
            <w:vAlign w:val="center"/>
          </w:tcPr>
          <w:p>
            <w:pPr>
              <w:rPr>
                <w:rFonts w:hint="eastAsia" w:ascii="宋体" w:hAnsi="宋体" w:eastAsia="宋体" w:cs="宋体"/>
                <w:sz w:val="21"/>
                <w:szCs w:val="21"/>
              </w:rPr>
            </w:pPr>
          </w:p>
        </w:tc>
        <w:tc>
          <w:tcPr>
            <w:tcW w:w="346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5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vMerge w:val="continue"/>
            <w:noWrap w:val="0"/>
            <w:vAlign w:val="center"/>
          </w:tcPr>
          <w:p>
            <w:pPr>
              <w:rPr>
                <w:rFonts w:hint="eastAsia" w:ascii="宋体" w:hAnsi="宋体" w:eastAsia="宋体" w:cs="宋体"/>
                <w:sz w:val="21"/>
                <w:szCs w:val="21"/>
              </w:rPr>
            </w:pPr>
          </w:p>
        </w:tc>
        <w:tc>
          <w:tcPr>
            <w:tcW w:w="346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80" w:type="dxa"/>
            <w:vMerge w:val="continue"/>
            <w:noWrap w:val="0"/>
            <w:vAlign w:val="center"/>
          </w:tcPr>
          <w:p>
            <w:pPr>
              <w:rPr>
                <w:rFonts w:hint="eastAsia" w:ascii="宋体" w:hAnsi="宋体" w:eastAsia="宋体" w:cs="宋体"/>
                <w:sz w:val="21"/>
                <w:szCs w:val="21"/>
              </w:rPr>
            </w:pPr>
          </w:p>
        </w:tc>
        <w:tc>
          <w:tcPr>
            <w:tcW w:w="155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76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栏次</w:t>
            </w:r>
          </w:p>
        </w:tc>
        <w:tc>
          <w:tcPr>
            <w:tcW w:w="15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5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5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5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15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5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w:t>
            </w:r>
          </w:p>
        </w:tc>
        <w:tc>
          <w:tcPr>
            <w:tcW w:w="1558"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76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合计</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5,351.47</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5,351.47</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201</w:t>
            </w:r>
          </w:p>
        </w:tc>
        <w:tc>
          <w:tcPr>
            <w:tcW w:w="346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一般公共服务支出</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20131</w:t>
            </w:r>
          </w:p>
        </w:tc>
        <w:tc>
          <w:tcPr>
            <w:tcW w:w="346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党委办公厅（室）及相关机构事务</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2013105</w:t>
            </w:r>
          </w:p>
        </w:tc>
        <w:tc>
          <w:tcPr>
            <w:tcW w:w="346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专项业务</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205</w:t>
            </w:r>
          </w:p>
        </w:tc>
        <w:tc>
          <w:tcPr>
            <w:tcW w:w="346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教育支出</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20599</w:t>
            </w:r>
          </w:p>
        </w:tc>
        <w:tc>
          <w:tcPr>
            <w:tcW w:w="346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其他教育支出</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2059999</w:t>
            </w:r>
          </w:p>
        </w:tc>
        <w:tc>
          <w:tcPr>
            <w:tcW w:w="346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其他教育支出</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206</w:t>
            </w:r>
          </w:p>
        </w:tc>
        <w:tc>
          <w:tcPr>
            <w:tcW w:w="346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科学技术支出</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20607</w:t>
            </w:r>
          </w:p>
        </w:tc>
        <w:tc>
          <w:tcPr>
            <w:tcW w:w="346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科学技术普及</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3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2060702</w:t>
            </w:r>
          </w:p>
        </w:tc>
        <w:tc>
          <w:tcPr>
            <w:tcW w:w="346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科普活动</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5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95" w:hRule="exact"/>
          <w:jc w:val="center"/>
        </w:trPr>
        <w:tc>
          <w:tcPr>
            <w:tcW w:w="14798" w:type="dxa"/>
            <w:gridSpan w:val="9"/>
            <w:tcBorders>
              <w:left w:val="single" w:color="FFFFFF" w:sz="4" w:space="0"/>
              <w:bottom w:val="single" w:color="FFFFFF" w:sz="4" w:space="0"/>
              <w:right w:val="single" w:color="FFFFFF"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注：本表反映部门本年度取得的各项收入情况。</w:t>
            </w:r>
          </w:p>
        </w:tc>
      </w:tr>
    </w:tbl>
    <w:p>
      <w:pPr>
        <w:snapToGrid w:val="0"/>
        <w:spacing w:before="200" w:after="200" w:line="200" w:lineRule="auto"/>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8"/>
          <w:szCs w:val="28"/>
        </w:rPr>
      </w:pPr>
      <w:r>
        <w:rPr>
          <w:rFonts w:hint="eastAsia" w:ascii="宋体" w:hAnsi="宋体" w:eastAsia="宋体" w:cs="宋体"/>
          <w:sz w:val="21"/>
          <w:szCs w:val="21"/>
        </w:rPr>
        <w:br w:type="page"/>
      </w:r>
    </w:p>
    <w:p>
      <w:pPr>
        <w:jc w:val="left"/>
        <w:rPr>
          <w:rFonts w:hint="eastAsia" w:ascii="黑体" w:hAnsi="黑体" w:eastAsia="黑体" w:cs="黑体"/>
          <w:sz w:val="28"/>
          <w:szCs w:val="28"/>
        </w:rPr>
      </w:pPr>
      <w:r>
        <w:rPr>
          <w:rFonts w:hint="eastAsia" w:ascii="黑体" w:hAnsi="黑体" w:eastAsia="黑体" w:cs="黑体"/>
          <w:sz w:val="28"/>
          <w:szCs w:val="28"/>
        </w:rPr>
        <w:t>三、支出决算表</w:t>
      </w:r>
    </w:p>
    <w:p>
      <w:pPr>
        <w:pStyle w:val="8"/>
        <w:jc w:val="center"/>
        <w:rPr>
          <w:rFonts w:hint="eastAsia" w:ascii="宋体" w:hAnsi="宋体" w:eastAsia="宋体" w:cs="宋体"/>
          <w:sz w:val="28"/>
          <w:szCs w:val="28"/>
          <w:lang w:eastAsia="zh-CN"/>
        </w:rPr>
      </w:pPr>
      <w:r>
        <w:rPr>
          <w:rFonts w:hint="eastAsia" w:ascii="黑体" w:hAnsi="黑体" w:eastAsia="黑体" w:cs="黑体"/>
          <w:sz w:val="28"/>
          <w:szCs w:val="28"/>
          <w:lang w:eastAsia="zh-CN"/>
        </w:rPr>
        <w:t>支出决算表</w:t>
      </w:r>
    </w:p>
    <w:tbl>
      <w:tblPr>
        <w:tblStyle w:val="1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6699"/>
        <w:gridCol w:w="2000"/>
        <w:gridCol w:w="669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trHeight w:val="90" w:hRule="atLeast"/>
          <w:jc w:val="center"/>
        </w:trPr>
        <w:tc>
          <w:tcPr>
            <w:tcW w:w="6699" w:type="dxa"/>
            <w:gridSpan w:val="3"/>
            <w:noWrap w:val="0"/>
            <w:vAlign w:val="top"/>
          </w:tcPr>
          <w:p>
            <w:pPr>
              <w:jc w:val="right"/>
              <w:rPr>
                <w:rFonts w:hint="eastAsia" w:ascii="宋体" w:hAnsi="宋体" w:eastAsia="宋体" w:cs="宋体"/>
              </w:rPr>
            </w:pPr>
            <w:r>
              <w:rPr>
                <w:rFonts w:hint="eastAsia"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noWrap w:val="0"/>
            <w:vAlign w:val="top"/>
          </w:tcPr>
          <w:p>
            <w:pPr>
              <w:jc w:val="left"/>
              <w:rPr>
                <w:rFonts w:hint="eastAsia" w:ascii="宋体" w:hAnsi="宋体" w:eastAsia="宋体" w:cs="宋体"/>
              </w:rPr>
            </w:pPr>
            <w:r>
              <w:rPr>
                <w:rFonts w:hint="eastAsia" w:ascii="宋体" w:hAnsi="宋体" w:eastAsia="宋体" w:cs="宋体"/>
                <w:sz w:val="20"/>
              </w:rPr>
              <w:t>单位：长沙市青少年宫</w:t>
            </w:r>
          </w:p>
        </w:tc>
        <w:tc>
          <w:tcPr>
            <w:tcW w:w="2000" w:type="dxa"/>
            <w:noWrap w:val="0"/>
            <w:vAlign w:val="top"/>
          </w:tcPr>
          <w:p>
            <w:pPr>
              <w:jc w:val="center"/>
              <w:rPr>
                <w:rFonts w:hint="eastAsia" w:ascii="宋体" w:hAnsi="宋体" w:eastAsia="宋体" w:cs="宋体"/>
              </w:rPr>
            </w:pPr>
            <w:r>
              <w:rPr>
                <w:rFonts w:hint="eastAsia" w:ascii="宋体" w:hAnsi="宋体" w:eastAsia="宋体" w:cs="宋体"/>
                <w:sz w:val="20"/>
              </w:rPr>
              <w:t>2023年度</w:t>
            </w:r>
          </w:p>
        </w:tc>
        <w:tc>
          <w:tcPr>
            <w:tcW w:w="6699" w:type="dxa"/>
            <w:noWrap w:val="0"/>
            <w:vAlign w:val="top"/>
          </w:tcPr>
          <w:p>
            <w:pPr>
              <w:jc w:val="right"/>
              <w:rPr>
                <w:rFonts w:hint="eastAsia" w:ascii="宋体" w:hAnsi="宋体" w:eastAsia="宋体" w:cs="宋体"/>
              </w:rPr>
            </w:pPr>
            <w:r>
              <w:rPr>
                <w:rFonts w:hint="eastAsia" w:ascii="宋体" w:hAnsi="宋体" w:eastAsia="宋体" w:cs="宋体"/>
                <w:sz w:val="20"/>
              </w:rPr>
              <w:t>单位：万元</w:t>
            </w:r>
          </w:p>
        </w:tc>
      </w:tr>
    </w:tbl>
    <w:p>
      <w:pPr>
        <w:snapToGrid w:val="0"/>
        <w:spacing w:line="0" w:lineRule="auto"/>
        <w:rPr>
          <w:rFonts w:hint="eastAsia" w:ascii="宋体" w:hAnsi="宋体" w:eastAsia="宋体" w:cs="宋体"/>
        </w:rPr>
      </w:pPr>
      <w:r>
        <w:rPr>
          <w:rFonts w:hint="eastAsia" w:ascii="宋体" w:hAnsi="宋体" w:eastAsia="宋体" w:cs="宋体"/>
          <w:sz w:val="8"/>
        </w:rPr>
        <w:t xml:space="preserve"> </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840"/>
        <w:gridCol w:w="1760"/>
        <w:gridCol w:w="1760"/>
        <w:gridCol w:w="1760"/>
        <w:gridCol w:w="1760"/>
        <w:gridCol w:w="1760"/>
        <w:gridCol w:w="17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4160" w:type="dxa"/>
            <w:gridSpan w:val="2"/>
            <w:noWrap w:val="0"/>
            <w:vAlign w:val="center"/>
          </w:tcPr>
          <w:p>
            <w:pPr>
              <w:jc w:val="center"/>
              <w:rPr>
                <w:rFonts w:hint="eastAsia" w:ascii="宋体" w:hAnsi="宋体" w:eastAsia="宋体" w:cs="宋体"/>
              </w:rPr>
            </w:pPr>
            <w:r>
              <w:rPr>
                <w:rFonts w:hint="eastAsia" w:ascii="宋体" w:hAnsi="宋体" w:eastAsia="宋体" w:cs="宋体"/>
                <w:color w:val="000000"/>
              </w:rPr>
              <w:t>项目</w:t>
            </w:r>
          </w:p>
        </w:tc>
        <w:tc>
          <w:tcPr>
            <w:tcW w:w="1760" w:type="dxa"/>
            <w:vMerge w:val="restart"/>
            <w:noWrap w:val="0"/>
            <w:vAlign w:val="center"/>
          </w:tcPr>
          <w:p>
            <w:pPr>
              <w:jc w:val="center"/>
              <w:rPr>
                <w:rFonts w:hint="eastAsia" w:ascii="宋体" w:hAnsi="宋体" w:eastAsia="宋体" w:cs="宋体"/>
              </w:rPr>
            </w:pPr>
            <w:r>
              <w:rPr>
                <w:rFonts w:hint="eastAsia" w:ascii="宋体" w:hAnsi="宋体" w:eastAsia="宋体" w:cs="宋体"/>
                <w:color w:val="000000"/>
              </w:rPr>
              <w:t>本年支出合计</w:t>
            </w:r>
          </w:p>
        </w:tc>
        <w:tc>
          <w:tcPr>
            <w:tcW w:w="1760" w:type="dxa"/>
            <w:vMerge w:val="restart"/>
            <w:noWrap w:val="0"/>
            <w:vAlign w:val="center"/>
          </w:tcPr>
          <w:p>
            <w:pPr>
              <w:jc w:val="center"/>
              <w:rPr>
                <w:rFonts w:hint="eastAsia" w:ascii="宋体" w:hAnsi="宋体" w:eastAsia="宋体" w:cs="宋体"/>
              </w:rPr>
            </w:pPr>
            <w:r>
              <w:rPr>
                <w:rFonts w:hint="eastAsia" w:ascii="宋体" w:hAnsi="宋体" w:eastAsia="宋体" w:cs="宋体"/>
                <w:color w:val="000000"/>
              </w:rPr>
              <w:t>基本支出</w:t>
            </w:r>
          </w:p>
        </w:tc>
        <w:tc>
          <w:tcPr>
            <w:tcW w:w="1760" w:type="dxa"/>
            <w:vMerge w:val="restart"/>
            <w:noWrap w:val="0"/>
            <w:vAlign w:val="center"/>
          </w:tcPr>
          <w:p>
            <w:pPr>
              <w:jc w:val="center"/>
              <w:rPr>
                <w:rFonts w:hint="eastAsia" w:ascii="宋体" w:hAnsi="宋体" w:eastAsia="宋体" w:cs="宋体"/>
              </w:rPr>
            </w:pPr>
            <w:r>
              <w:rPr>
                <w:rFonts w:hint="eastAsia" w:ascii="宋体" w:hAnsi="宋体" w:eastAsia="宋体" w:cs="宋体"/>
                <w:color w:val="000000"/>
              </w:rPr>
              <w:t>项目支出</w:t>
            </w:r>
          </w:p>
        </w:tc>
        <w:tc>
          <w:tcPr>
            <w:tcW w:w="1760" w:type="dxa"/>
            <w:vMerge w:val="restart"/>
            <w:noWrap w:val="0"/>
            <w:vAlign w:val="center"/>
          </w:tcPr>
          <w:p>
            <w:pPr>
              <w:jc w:val="center"/>
              <w:rPr>
                <w:rFonts w:hint="eastAsia" w:ascii="宋体" w:hAnsi="宋体" w:eastAsia="宋体" w:cs="宋体"/>
              </w:rPr>
            </w:pPr>
            <w:r>
              <w:rPr>
                <w:rFonts w:hint="eastAsia" w:ascii="宋体" w:hAnsi="宋体" w:eastAsia="宋体" w:cs="宋体"/>
                <w:color w:val="000000"/>
              </w:rPr>
              <w:t>上缴上级支出</w:t>
            </w:r>
          </w:p>
        </w:tc>
        <w:tc>
          <w:tcPr>
            <w:tcW w:w="1760" w:type="dxa"/>
            <w:vMerge w:val="restart"/>
            <w:noWrap w:val="0"/>
            <w:vAlign w:val="center"/>
          </w:tcPr>
          <w:p>
            <w:pPr>
              <w:jc w:val="center"/>
              <w:rPr>
                <w:rFonts w:hint="eastAsia" w:ascii="宋体" w:hAnsi="宋体" w:eastAsia="宋体" w:cs="宋体"/>
              </w:rPr>
            </w:pPr>
            <w:r>
              <w:rPr>
                <w:rFonts w:hint="eastAsia" w:ascii="宋体" w:hAnsi="宋体" w:eastAsia="宋体" w:cs="宋体"/>
                <w:color w:val="000000"/>
              </w:rPr>
              <w:t>经营支出</w:t>
            </w:r>
          </w:p>
        </w:tc>
        <w:tc>
          <w:tcPr>
            <w:tcW w:w="1798" w:type="dxa"/>
            <w:vMerge w:val="restart"/>
            <w:noWrap w:val="0"/>
            <w:vAlign w:val="center"/>
          </w:tcPr>
          <w:p>
            <w:pPr>
              <w:jc w:val="center"/>
              <w:rPr>
                <w:rFonts w:hint="eastAsia" w:ascii="宋体" w:hAnsi="宋体" w:eastAsia="宋体" w:cs="宋体"/>
              </w:rPr>
            </w:pPr>
            <w:r>
              <w:rPr>
                <w:rFonts w:hint="eastAsia" w:ascii="宋体" w:hAnsi="宋体" w:eastAsia="宋体" w:cs="宋体"/>
                <w:color w:val="000000"/>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vMerge w:val="restart"/>
            <w:noWrap w:val="0"/>
            <w:vAlign w:val="center"/>
          </w:tcPr>
          <w:p>
            <w:pPr>
              <w:jc w:val="center"/>
              <w:rPr>
                <w:rFonts w:hint="eastAsia" w:ascii="宋体" w:hAnsi="宋体" w:eastAsia="宋体" w:cs="宋体"/>
              </w:rPr>
            </w:pPr>
            <w:r>
              <w:rPr>
                <w:rFonts w:hint="eastAsia" w:ascii="宋体" w:hAnsi="宋体" w:eastAsia="宋体" w:cs="宋体"/>
                <w:color w:val="000000"/>
              </w:rPr>
              <w:t>科目代码</w:t>
            </w:r>
          </w:p>
        </w:tc>
        <w:tc>
          <w:tcPr>
            <w:tcW w:w="3840" w:type="dxa"/>
            <w:vMerge w:val="restart"/>
            <w:noWrap w:val="0"/>
            <w:vAlign w:val="center"/>
          </w:tcPr>
          <w:p>
            <w:pPr>
              <w:jc w:val="center"/>
              <w:rPr>
                <w:rFonts w:hint="eastAsia" w:ascii="宋体" w:hAnsi="宋体" w:eastAsia="宋体" w:cs="宋体"/>
              </w:rPr>
            </w:pPr>
            <w:r>
              <w:rPr>
                <w:rFonts w:hint="eastAsia" w:ascii="宋体" w:hAnsi="宋体" w:eastAsia="宋体" w:cs="宋体"/>
                <w:color w:val="000000"/>
              </w:rPr>
              <w:t>科目名称</w:t>
            </w: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98" w:type="dxa"/>
            <w:vMerge w:val="continue"/>
            <w:noWrap w:val="0"/>
            <w:vAlign w:val="center"/>
          </w:tcPr>
          <w:p>
            <w:pPr>
              <w:rPr>
                <w:rFonts w:hint="eastAsia" w:ascii="宋体" w:hAnsi="宋体" w:eastAsia="宋体" w:cs="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vMerge w:val="continue"/>
            <w:noWrap w:val="0"/>
            <w:vAlign w:val="center"/>
          </w:tcPr>
          <w:p>
            <w:pPr>
              <w:rPr>
                <w:rFonts w:hint="eastAsia" w:ascii="宋体" w:hAnsi="宋体" w:eastAsia="宋体" w:cs="宋体"/>
              </w:rPr>
            </w:pPr>
          </w:p>
        </w:tc>
        <w:tc>
          <w:tcPr>
            <w:tcW w:w="384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98" w:type="dxa"/>
            <w:vMerge w:val="continue"/>
            <w:noWrap w:val="0"/>
            <w:vAlign w:val="center"/>
          </w:tcPr>
          <w:p>
            <w:pPr>
              <w:rPr>
                <w:rFonts w:hint="eastAsia" w:ascii="宋体" w:hAnsi="宋体" w:eastAsia="宋体" w:cs="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vMerge w:val="continue"/>
            <w:noWrap w:val="0"/>
            <w:vAlign w:val="center"/>
          </w:tcPr>
          <w:p>
            <w:pPr>
              <w:rPr>
                <w:rFonts w:hint="eastAsia" w:ascii="宋体" w:hAnsi="宋体" w:eastAsia="宋体" w:cs="宋体"/>
              </w:rPr>
            </w:pPr>
          </w:p>
        </w:tc>
        <w:tc>
          <w:tcPr>
            <w:tcW w:w="384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60" w:type="dxa"/>
            <w:vMerge w:val="continue"/>
            <w:noWrap w:val="0"/>
            <w:vAlign w:val="center"/>
          </w:tcPr>
          <w:p>
            <w:pPr>
              <w:rPr>
                <w:rFonts w:hint="eastAsia" w:ascii="宋体" w:hAnsi="宋体" w:eastAsia="宋体" w:cs="宋体"/>
              </w:rPr>
            </w:pPr>
          </w:p>
        </w:tc>
        <w:tc>
          <w:tcPr>
            <w:tcW w:w="1798" w:type="dxa"/>
            <w:vMerge w:val="continue"/>
            <w:noWrap w:val="0"/>
            <w:vAlign w:val="center"/>
          </w:tcPr>
          <w:p>
            <w:pPr>
              <w:rPr>
                <w:rFonts w:hint="eastAsia" w:ascii="宋体" w:hAnsi="宋体" w:eastAsia="宋体" w:cs="宋体"/>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4160" w:type="dxa"/>
            <w:gridSpan w:val="2"/>
            <w:noWrap w:val="0"/>
            <w:vAlign w:val="center"/>
          </w:tcPr>
          <w:p>
            <w:pPr>
              <w:jc w:val="center"/>
              <w:rPr>
                <w:rFonts w:hint="eastAsia" w:ascii="宋体" w:hAnsi="宋体" w:eastAsia="宋体" w:cs="宋体"/>
              </w:rPr>
            </w:pPr>
            <w:r>
              <w:rPr>
                <w:rFonts w:hint="eastAsia" w:ascii="宋体" w:hAnsi="宋体" w:eastAsia="宋体" w:cs="宋体"/>
                <w:color w:val="000000"/>
              </w:rPr>
              <w:t>栏次</w:t>
            </w:r>
          </w:p>
        </w:tc>
        <w:tc>
          <w:tcPr>
            <w:tcW w:w="1760" w:type="dxa"/>
            <w:noWrap w:val="0"/>
            <w:vAlign w:val="center"/>
          </w:tcPr>
          <w:p>
            <w:pPr>
              <w:jc w:val="center"/>
              <w:rPr>
                <w:rFonts w:hint="eastAsia" w:ascii="宋体" w:hAnsi="宋体" w:eastAsia="宋体" w:cs="宋体"/>
              </w:rPr>
            </w:pPr>
            <w:r>
              <w:rPr>
                <w:rFonts w:hint="eastAsia" w:ascii="宋体" w:hAnsi="宋体" w:eastAsia="宋体" w:cs="宋体"/>
                <w:color w:val="000000"/>
              </w:rPr>
              <w:t>1</w:t>
            </w:r>
          </w:p>
        </w:tc>
        <w:tc>
          <w:tcPr>
            <w:tcW w:w="1760" w:type="dxa"/>
            <w:noWrap w:val="0"/>
            <w:vAlign w:val="center"/>
          </w:tcPr>
          <w:p>
            <w:pPr>
              <w:jc w:val="center"/>
              <w:rPr>
                <w:rFonts w:hint="eastAsia" w:ascii="宋体" w:hAnsi="宋体" w:eastAsia="宋体" w:cs="宋体"/>
              </w:rPr>
            </w:pPr>
            <w:r>
              <w:rPr>
                <w:rFonts w:hint="eastAsia" w:ascii="宋体" w:hAnsi="宋体" w:eastAsia="宋体" w:cs="宋体"/>
                <w:color w:val="000000"/>
              </w:rPr>
              <w:t>2</w:t>
            </w:r>
          </w:p>
        </w:tc>
        <w:tc>
          <w:tcPr>
            <w:tcW w:w="1760" w:type="dxa"/>
            <w:noWrap w:val="0"/>
            <w:vAlign w:val="center"/>
          </w:tcPr>
          <w:p>
            <w:pPr>
              <w:jc w:val="center"/>
              <w:rPr>
                <w:rFonts w:hint="eastAsia" w:ascii="宋体" w:hAnsi="宋体" w:eastAsia="宋体" w:cs="宋体"/>
              </w:rPr>
            </w:pPr>
            <w:r>
              <w:rPr>
                <w:rFonts w:hint="eastAsia" w:ascii="宋体" w:hAnsi="宋体" w:eastAsia="宋体" w:cs="宋体"/>
                <w:color w:val="000000"/>
              </w:rPr>
              <w:t>3</w:t>
            </w:r>
          </w:p>
        </w:tc>
        <w:tc>
          <w:tcPr>
            <w:tcW w:w="1760" w:type="dxa"/>
            <w:noWrap w:val="0"/>
            <w:vAlign w:val="center"/>
          </w:tcPr>
          <w:p>
            <w:pPr>
              <w:jc w:val="center"/>
              <w:rPr>
                <w:rFonts w:hint="eastAsia" w:ascii="宋体" w:hAnsi="宋体" w:eastAsia="宋体" w:cs="宋体"/>
              </w:rPr>
            </w:pPr>
            <w:r>
              <w:rPr>
                <w:rFonts w:hint="eastAsia" w:ascii="宋体" w:hAnsi="宋体" w:eastAsia="宋体" w:cs="宋体"/>
                <w:color w:val="000000"/>
              </w:rPr>
              <w:t>4</w:t>
            </w:r>
          </w:p>
        </w:tc>
        <w:tc>
          <w:tcPr>
            <w:tcW w:w="1760" w:type="dxa"/>
            <w:noWrap w:val="0"/>
            <w:vAlign w:val="center"/>
          </w:tcPr>
          <w:p>
            <w:pPr>
              <w:jc w:val="center"/>
              <w:rPr>
                <w:rFonts w:hint="eastAsia" w:ascii="宋体" w:hAnsi="宋体" w:eastAsia="宋体" w:cs="宋体"/>
              </w:rPr>
            </w:pPr>
            <w:r>
              <w:rPr>
                <w:rFonts w:hint="eastAsia" w:ascii="宋体" w:hAnsi="宋体" w:eastAsia="宋体" w:cs="宋体"/>
                <w:color w:val="000000"/>
              </w:rPr>
              <w:t>5</w:t>
            </w:r>
          </w:p>
        </w:tc>
        <w:tc>
          <w:tcPr>
            <w:tcW w:w="1798" w:type="dxa"/>
            <w:noWrap w:val="0"/>
            <w:vAlign w:val="center"/>
          </w:tcPr>
          <w:p>
            <w:pPr>
              <w:jc w:val="center"/>
              <w:rPr>
                <w:rFonts w:hint="eastAsia" w:ascii="宋体" w:hAnsi="宋体" w:eastAsia="宋体" w:cs="宋体"/>
              </w:rPr>
            </w:pPr>
            <w:r>
              <w:rPr>
                <w:rFonts w:hint="eastAsia" w:ascii="宋体" w:hAnsi="宋体" w:eastAsia="宋体" w:cs="宋体"/>
                <w:color w:val="00000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4160" w:type="dxa"/>
            <w:gridSpan w:val="2"/>
            <w:noWrap w:val="0"/>
            <w:vAlign w:val="center"/>
          </w:tcPr>
          <w:p>
            <w:pPr>
              <w:jc w:val="center"/>
              <w:rPr>
                <w:rFonts w:hint="eastAsia" w:ascii="宋体" w:hAnsi="宋体" w:eastAsia="宋体" w:cs="宋体"/>
              </w:rPr>
            </w:pPr>
            <w:r>
              <w:rPr>
                <w:rFonts w:hint="eastAsia" w:ascii="宋体" w:hAnsi="宋体" w:eastAsia="宋体" w:cs="宋体"/>
                <w:color w:val="000000"/>
              </w:rPr>
              <w:t>合计</w:t>
            </w:r>
          </w:p>
        </w:tc>
        <w:tc>
          <w:tcPr>
            <w:tcW w:w="1760" w:type="dxa"/>
            <w:noWrap w:val="0"/>
            <w:vAlign w:val="center"/>
          </w:tcPr>
          <w:p>
            <w:pPr>
              <w:jc w:val="right"/>
              <w:rPr>
                <w:rFonts w:hint="eastAsia" w:ascii="宋体" w:hAnsi="宋体" w:eastAsia="宋体" w:cs="宋体"/>
              </w:rPr>
            </w:pPr>
            <w:r>
              <w:rPr>
                <w:rFonts w:hint="eastAsia" w:ascii="宋体" w:hAnsi="宋体" w:eastAsia="宋体" w:cs="宋体"/>
                <w:b/>
                <w:color w:val="000000"/>
              </w:rPr>
              <w:t>5,351.47</w:t>
            </w:r>
          </w:p>
        </w:tc>
        <w:tc>
          <w:tcPr>
            <w:tcW w:w="1760" w:type="dxa"/>
            <w:noWrap w:val="0"/>
            <w:vAlign w:val="center"/>
          </w:tcPr>
          <w:p>
            <w:pPr>
              <w:jc w:val="right"/>
              <w:rPr>
                <w:rFonts w:hint="eastAsia" w:ascii="宋体" w:hAnsi="宋体" w:eastAsia="宋体" w:cs="宋体"/>
              </w:rPr>
            </w:pPr>
            <w:r>
              <w:rPr>
                <w:rFonts w:hint="eastAsia" w:ascii="宋体" w:hAnsi="宋体" w:eastAsia="宋体" w:cs="宋体"/>
                <w:b/>
                <w:color w:val="000000"/>
              </w:rPr>
              <w:t>1,921.18</w:t>
            </w:r>
          </w:p>
        </w:tc>
        <w:tc>
          <w:tcPr>
            <w:tcW w:w="1760" w:type="dxa"/>
            <w:noWrap w:val="0"/>
            <w:vAlign w:val="center"/>
          </w:tcPr>
          <w:p>
            <w:pPr>
              <w:jc w:val="right"/>
              <w:rPr>
                <w:rFonts w:hint="eastAsia" w:ascii="宋体" w:hAnsi="宋体" w:eastAsia="宋体" w:cs="宋体"/>
              </w:rPr>
            </w:pPr>
            <w:r>
              <w:rPr>
                <w:rFonts w:hint="eastAsia" w:ascii="宋体" w:hAnsi="宋体" w:eastAsia="宋体" w:cs="宋体"/>
                <w:b/>
                <w:color w:val="000000"/>
              </w:rPr>
              <w:t>3,430.29</w:t>
            </w:r>
          </w:p>
        </w:tc>
        <w:tc>
          <w:tcPr>
            <w:tcW w:w="1760" w:type="dxa"/>
            <w:noWrap w:val="0"/>
            <w:vAlign w:val="center"/>
          </w:tcPr>
          <w:p>
            <w:pPr>
              <w:jc w:val="right"/>
              <w:rPr>
                <w:rFonts w:hint="eastAsia" w:ascii="宋体" w:hAnsi="宋体" w:eastAsia="宋体" w:cs="宋体"/>
              </w:rPr>
            </w:pPr>
            <w:r>
              <w:rPr>
                <w:rFonts w:hint="eastAsia" w:ascii="宋体" w:hAnsi="宋体" w:eastAsia="宋体" w:cs="宋体"/>
                <w:b/>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b/>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b/>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noWrap w:val="0"/>
            <w:vAlign w:val="center"/>
          </w:tcPr>
          <w:p>
            <w:pPr>
              <w:jc w:val="left"/>
              <w:rPr>
                <w:rFonts w:hint="eastAsia" w:ascii="宋体" w:hAnsi="宋体" w:eastAsia="宋体" w:cs="宋体"/>
              </w:rPr>
            </w:pPr>
            <w:r>
              <w:rPr>
                <w:rFonts w:hint="eastAsia" w:ascii="宋体" w:hAnsi="宋体" w:eastAsia="宋体" w:cs="宋体"/>
                <w:color w:val="000000"/>
              </w:rPr>
              <w:t>201</w:t>
            </w:r>
          </w:p>
        </w:tc>
        <w:tc>
          <w:tcPr>
            <w:tcW w:w="3840" w:type="dxa"/>
            <w:noWrap w:val="0"/>
            <w:vAlign w:val="center"/>
          </w:tcPr>
          <w:p>
            <w:pPr>
              <w:jc w:val="left"/>
              <w:rPr>
                <w:rFonts w:hint="eastAsia" w:ascii="宋体" w:hAnsi="宋体" w:eastAsia="宋体" w:cs="宋体"/>
              </w:rPr>
            </w:pPr>
            <w:r>
              <w:rPr>
                <w:rFonts w:hint="eastAsia" w:ascii="宋体" w:hAnsi="宋体" w:eastAsia="宋体" w:cs="宋体"/>
                <w:color w:val="000000"/>
              </w:rPr>
              <w:t>一般公共服务支出</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4.76</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4.76</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noWrap w:val="0"/>
            <w:vAlign w:val="center"/>
          </w:tcPr>
          <w:p>
            <w:pPr>
              <w:jc w:val="left"/>
              <w:rPr>
                <w:rFonts w:hint="eastAsia" w:ascii="宋体" w:hAnsi="宋体" w:eastAsia="宋体" w:cs="宋体"/>
              </w:rPr>
            </w:pPr>
            <w:r>
              <w:rPr>
                <w:rFonts w:hint="eastAsia" w:ascii="宋体" w:hAnsi="宋体" w:eastAsia="宋体" w:cs="宋体"/>
                <w:color w:val="000000"/>
              </w:rPr>
              <w:t>20131</w:t>
            </w:r>
          </w:p>
        </w:tc>
        <w:tc>
          <w:tcPr>
            <w:tcW w:w="3840" w:type="dxa"/>
            <w:noWrap w:val="0"/>
            <w:vAlign w:val="center"/>
          </w:tcPr>
          <w:p>
            <w:pPr>
              <w:jc w:val="left"/>
              <w:rPr>
                <w:rFonts w:hint="eastAsia" w:ascii="宋体" w:hAnsi="宋体" w:eastAsia="宋体" w:cs="宋体"/>
              </w:rPr>
            </w:pPr>
            <w:r>
              <w:rPr>
                <w:rFonts w:hint="eastAsia" w:ascii="宋体" w:hAnsi="宋体" w:eastAsia="宋体" w:cs="宋体"/>
                <w:color w:val="000000"/>
              </w:rPr>
              <w:t>党委办公厅（室）及相关机构事务</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4.76</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4.76</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noWrap w:val="0"/>
            <w:vAlign w:val="center"/>
          </w:tcPr>
          <w:p>
            <w:pPr>
              <w:jc w:val="left"/>
              <w:rPr>
                <w:rFonts w:hint="eastAsia" w:ascii="宋体" w:hAnsi="宋体" w:eastAsia="宋体" w:cs="宋体"/>
              </w:rPr>
            </w:pPr>
            <w:r>
              <w:rPr>
                <w:rFonts w:hint="eastAsia" w:ascii="宋体" w:hAnsi="宋体" w:eastAsia="宋体" w:cs="宋体"/>
                <w:color w:val="000000"/>
              </w:rPr>
              <w:t>2013105</w:t>
            </w:r>
          </w:p>
        </w:tc>
        <w:tc>
          <w:tcPr>
            <w:tcW w:w="3840" w:type="dxa"/>
            <w:noWrap w:val="0"/>
            <w:vAlign w:val="center"/>
          </w:tcPr>
          <w:p>
            <w:pPr>
              <w:jc w:val="left"/>
              <w:rPr>
                <w:rFonts w:hint="eastAsia" w:ascii="宋体" w:hAnsi="宋体" w:eastAsia="宋体" w:cs="宋体"/>
              </w:rPr>
            </w:pPr>
            <w:r>
              <w:rPr>
                <w:rFonts w:hint="eastAsia" w:ascii="宋体" w:hAnsi="宋体" w:eastAsia="宋体" w:cs="宋体"/>
                <w:color w:val="000000"/>
              </w:rPr>
              <w:t>专项业务</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4.76</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4.76</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noWrap w:val="0"/>
            <w:vAlign w:val="center"/>
          </w:tcPr>
          <w:p>
            <w:pPr>
              <w:jc w:val="left"/>
              <w:rPr>
                <w:rFonts w:hint="eastAsia" w:ascii="宋体" w:hAnsi="宋体" w:eastAsia="宋体" w:cs="宋体"/>
              </w:rPr>
            </w:pPr>
            <w:r>
              <w:rPr>
                <w:rFonts w:hint="eastAsia" w:ascii="宋体" w:hAnsi="宋体" w:eastAsia="宋体" w:cs="宋体"/>
                <w:color w:val="000000"/>
              </w:rPr>
              <w:t>205</w:t>
            </w:r>
          </w:p>
        </w:tc>
        <w:tc>
          <w:tcPr>
            <w:tcW w:w="3840" w:type="dxa"/>
            <w:noWrap w:val="0"/>
            <w:vAlign w:val="center"/>
          </w:tcPr>
          <w:p>
            <w:pPr>
              <w:jc w:val="left"/>
              <w:rPr>
                <w:rFonts w:hint="eastAsia" w:ascii="宋体" w:hAnsi="宋体" w:eastAsia="宋体" w:cs="宋体"/>
              </w:rPr>
            </w:pPr>
            <w:r>
              <w:rPr>
                <w:rFonts w:hint="eastAsia" w:ascii="宋体" w:hAnsi="宋体" w:eastAsia="宋体" w:cs="宋体"/>
                <w:color w:val="000000"/>
              </w:rPr>
              <w:t>教育支出</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5,342.88</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1,921.18</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3,421.70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noWrap w:val="0"/>
            <w:vAlign w:val="center"/>
          </w:tcPr>
          <w:p>
            <w:pPr>
              <w:jc w:val="left"/>
              <w:rPr>
                <w:rFonts w:hint="eastAsia" w:ascii="宋体" w:hAnsi="宋体" w:eastAsia="宋体" w:cs="宋体"/>
              </w:rPr>
            </w:pPr>
            <w:r>
              <w:rPr>
                <w:rFonts w:hint="eastAsia" w:ascii="宋体" w:hAnsi="宋体" w:eastAsia="宋体" w:cs="宋体"/>
                <w:color w:val="000000"/>
              </w:rPr>
              <w:t>20599</w:t>
            </w:r>
          </w:p>
        </w:tc>
        <w:tc>
          <w:tcPr>
            <w:tcW w:w="3840" w:type="dxa"/>
            <w:noWrap w:val="0"/>
            <w:vAlign w:val="center"/>
          </w:tcPr>
          <w:p>
            <w:pPr>
              <w:jc w:val="left"/>
              <w:rPr>
                <w:rFonts w:hint="eastAsia" w:ascii="宋体" w:hAnsi="宋体" w:eastAsia="宋体" w:cs="宋体"/>
              </w:rPr>
            </w:pPr>
            <w:r>
              <w:rPr>
                <w:rFonts w:hint="eastAsia" w:ascii="宋体" w:hAnsi="宋体" w:eastAsia="宋体" w:cs="宋体"/>
                <w:color w:val="000000"/>
              </w:rPr>
              <w:t>其他教育支出</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5,342.88</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1,921.18</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3,421.70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noWrap w:val="0"/>
            <w:vAlign w:val="center"/>
          </w:tcPr>
          <w:p>
            <w:pPr>
              <w:jc w:val="left"/>
              <w:rPr>
                <w:rFonts w:hint="eastAsia" w:ascii="宋体" w:hAnsi="宋体" w:eastAsia="宋体" w:cs="宋体"/>
              </w:rPr>
            </w:pPr>
            <w:r>
              <w:rPr>
                <w:rFonts w:hint="eastAsia" w:ascii="宋体" w:hAnsi="宋体" w:eastAsia="宋体" w:cs="宋体"/>
                <w:color w:val="000000"/>
              </w:rPr>
              <w:t>2059999</w:t>
            </w:r>
          </w:p>
        </w:tc>
        <w:tc>
          <w:tcPr>
            <w:tcW w:w="3840" w:type="dxa"/>
            <w:noWrap w:val="0"/>
            <w:vAlign w:val="center"/>
          </w:tcPr>
          <w:p>
            <w:pPr>
              <w:jc w:val="left"/>
              <w:rPr>
                <w:rFonts w:hint="eastAsia" w:ascii="宋体" w:hAnsi="宋体" w:eastAsia="宋体" w:cs="宋体"/>
              </w:rPr>
            </w:pPr>
            <w:r>
              <w:rPr>
                <w:rFonts w:hint="eastAsia" w:ascii="宋体" w:hAnsi="宋体" w:eastAsia="宋体" w:cs="宋体"/>
                <w:color w:val="000000"/>
              </w:rPr>
              <w:t>其他教育支出</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5,342.88</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1,921.18</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3,421.70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noWrap w:val="0"/>
            <w:vAlign w:val="center"/>
          </w:tcPr>
          <w:p>
            <w:pPr>
              <w:jc w:val="left"/>
              <w:rPr>
                <w:rFonts w:hint="eastAsia" w:ascii="宋体" w:hAnsi="宋体" w:eastAsia="宋体" w:cs="宋体"/>
              </w:rPr>
            </w:pPr>
            <w:r>
              <w:rPr>
                <w:rFonts w:hint="eastAsia" w:ascii="宋体" w:hAnsi="宋体" w:eastAsia="宋体" w:cs="宋体"/>
                <w:color w:val="000000"/>
              </w:rPr>
              <w:t>206</w:t>
            </w:r>
          </w:p>
        </w:tc>
        <w:tc>
          <w:tcPr>
            <w:tcW w:w="3840" w:type="dxa"/>
            <w:noWrap w:val="0"/>
            <w:vAlign w:val="center"/>
          </w:tcPr>
          <w:p>
            <w:pPr>
              <w:jc w:val="left"/>
              <w:rPr>
                <w:rFonts w:hint="eastAsia" w:ascii="宋体" w:hAnsi="宋体" w:eastAsia="宋体" w:cs="宋体"/>
              </w:rPr>
            </w:pPr>
            <w:r>
              <w:rPr>
                <w:rFonts w:hint="eastAsia" w:ascii="宋体" w:hAnsi="宋体" w:eastAsia="宋体" w:cs="宋体"/>
                <w:color w:val="000000"/>
              </w:rPr>
              <w:t>科学技术支出</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3.83</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3.83</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noWrap w:val="0"/>
            <w:vAlign w:val="center"/>
          </w:tcPr>
          <w:p>
            <w:pPr>
              <w:jc w:val="left"/>
              <w:rPr>
                <w:rFonts w:hint="eastAsia" w:ascii="宋体" w:hAnsi="宋体" w:eastAsia="宋体" w:cs="宋体"/>
              </w:rPr>
            </w:pPr>
            <w:r>
              <w:rPr>
                <w:rFonts w:hint="eastAsia" w:ascii="宋体" w:hAnsi="宋体" w:eastAsia="宋体" w:cs="宋体"/>
                <w:color w:val="000000"/>
              </w:rPr>
              <w:t>20607</w:t>
            </w:r>
          </w:p>
        </w:tc>
        <w:tc>
          <w:tcPr>
            <w:tcW w:w="3840" w:type="dxa"/>
            <w:noWrap w:val="0"/>
            <w:vAlign w:val="center"/>
          </w:tcPr>
          <w:p>
            <w:pPr>
              <w:jc w:val="left"/>
              <w:rPr>
                <w:rFonts w:hint="eastAsia" w:ascii="宋体" w:hAnsi="宋体" w:eastAsia="宋体" w:cs="宋体"/>
              </w:rPr>
            </w:pPr>
            <w:r>
              <w:rPr>
                <w:rFonts w:hint="eastAsia" w:ascii="宋体" w:hAnsi="宋体" w:eastAsia="宋体" w:cs="宋体"/>
                <w:color w:val="000000"/>
              </w:rPr>
              <w:t>科学技术普及</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3.83</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3.83</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320" w:type="dxa"/>
            <w:noWrap w:val="0"/>
            <w:vAlign w:val="center"/>
          </w:tcPr>
          <w:p>
            <w:pPr>
              <w:jc w:val="left"/>
              <w:rPr>
                <w:rFonts w:hint="eastAsia" w:ascii="宋体" w:hAnsi="宋体" w:eastAsia="宋体" w:cs="宋体"/>
              </w:rPr>
            </w:pPr>
            <w:r>
              <w:rPr>
                <w:rFonts w:hint="eastAsia" w:ascii="宋体" w:hAnsi="宋体" w:eastAsia="宋体" w:cs="宋体"/>
                <w:color w:val="000000"/>
              </w:rPr>
              <w:t>2060702</w:t>
            </w:r>
          </w:p>
        </w:tc>
        <w:tc>
          <w:tcPr>
            <w:tcW w:w="3840" w:type="dxa"/>
            <w:noWrap w:val="0"/>
            <w:vAlign w:val="center"/>
          </w:tcPr>
          <w:p>
            <w:pPr>
              <w:jc w:val="left"/>
              <w:rPr>
                <w:rFonts w:hint="eastAsia" w:ascii="宋体" w:hAnsi="宋体" w:eastAsia="宋体" w:cs="宋体"/>
              </w:rPr>
            </w:pPr>
            <w:r>
              <w:rPr>
                <w:rFonts w:hint="eastAsia" w:ascii="宋体" w:hAnsi="宋体" w:eastAsia="宋体" w:cs="宋体"/>
                <w:color w:val="000000"/>
              </w:rPr>
              <w:t>科普活动</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3.83</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3.83</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60"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c>
          <w:tcPr>
            <w:tcW w:w="1798" w:type="dxa"/>
            <w:noWrap w:val="0"/>
            <w:vAlign w:val="center"/>
          </w:tcPr>
          <w:p>
            <w:pPr>
              <w:jc w:val="right"/>
              <w:rPr>
                <w:rFonts w:hint="eastAsia" w:ascii="宋体" w:hAnsi="宋体" w:eastAsia="宋体" w:cs="宋体"/>
              </w:rPr>
            </w:pPr>
            <w:r>
              <w:rPr>
                <w:rFonts w:hint="eastAsia" w:ascii="宋体" w:hAnsi="宋体" w:eastAsia="宋体" w:cs="宋体"/>
                <w:color w:val="00000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441" w:hRule="exact"/>
          <w:jc w:val="center"/>
        </w:trPr>
        <w:tc>
          <w:tcPr>
            <w:tcW w:w="14758" w:type="dxa"/>
            <w:gridSpan w:val="8"/>
            <w:tcBorders>
              <w:left w:val="single" w:color="FFFFFF" w:sz="4" w:space="0"/>
              <w:bottom w:val="single" w:color="FFFFFF" w:sz="4" w:space="0"/>
              <w:right w:val="single" w:color="FFFFFF" w:sz="4" w:space="0"/>
            </w:tcBorders>
            <w:noWrap w:val="0"/>
            <w:vAlign w:val="center"/>
          </w:tcPr>
          <w:p>
            <w:pPr>
              <w:jc w:val="left"/>
              <w:rPr>
                <w:rFonts w:hint="eastAsia" w:ascii="宋体" w:hAnsi="宋体" w:eastAsia="宋体" w:cs="宋体"/>
              </w:rPr>
            </w:pPr>
            <w:r>
              <w:rPr>
                <w:rFonts w:hint="eastAsia" w:ascii="宋体" w:hAnsi="宋体" w:eastAsia="宋体" w:cs="宋体"/>
                <w:color w:val="000000"/>
              </w:rPr>
              <w:t>注：本表反映部门本年度各项支出情况。</w:t>
            </w:r>
          </w:p>
        </w:tc>
      </w:tr>
    </w:tbl>
    <w:p>
      <w:pPr>
        <w:snapToGrid w:val="0"/>
        <w:spacing w:before="200" w:after="200" w:line="200" w:lineRule="auto"/>
        <w:rPr>
          <w:rFonts w:hint="eastAsia" w:ascii="宋体" w:hAnsi="宋体" w:eastAsia="宋体" w:cs="宋体"/>
        </w:rPr>
      </w:pPr>
      <w:r>
        <w:rPr>
          <w:rFonts w:hint="eastAsia" w:ascii="宋体" w:hAnsi="宋体" w:eastAsia="宋体" w:cs="宋体"/>
          <w:sz w:val="8"/>
        </w:rPr>
        <w:t xml:space="preserve"> </w:t>
      </w:r>
    </w:p>
    <w:p>
      <w:pPr>
        <w:rPr>
          <w:rFonts w:ascii="黑体" w:hAnsi="仿宋" w:eastAsia="黑体"/>
          <w:sz w:val="28"/>
          <w:szCs w:val="28"/>
        </w:rPr>
      </w:pPr>
      <w:r>
        <w:rPr>
          <w:rFonts w:hint="eastAsia" w:ascii="宋体" w:hAnsi="宋体" w:eastAsia="宋体" w:cs="宋体"/>
        </w:rPr>
        <w:br w:type="page"/>
      </w:r>
    </w:p>
    <w:p>
      <w:pPr>
        <w:jc w:val="left"/>
        <w:rPr>
          <w:rFonts w:ascii="黑体" w:hAnsi="仿宋" w:eastAsia="黑体"/>
          <w:sz w:val="28"/>
          <w:szCs w:val="28"/>
        </w:rPr>
      </w:pPr>
      <w:r>
        <w:rPr>
          <w:rFonts w:hint="eastAsia" w:ascii="黑体" w:hAnsi="仿宋" w:eastAsia="黑体"/>
          <w:sz w:val="28"/>
          <w:szCs w:val="28"/>
        </w:rPr>
        <w:t>四、财政拨款收入支出决算总表</w:t>
      </w:r>
    </w:p>
    <w:p>
      <w:pPr>
        <w:pStyle w:val="8"/>
        <w:jc w:val="center"/>
        <w:rPr>
          <w:rFonts w:ascii="黑体" w:hAnsi="仿宋" w:eastAsia="黑体"/>
          <w:sz w:val="28"/>
          <w:szCs w:val="28"/>
          <w:lang w:eastAsia="zh-CN"/>
        </w:rPr>
      </w:pPr>
      <w:r>
        <w:rPr>
          <w:rFonts w:hint="eastAsia" w:ascii="黑体" w:hAnsi="仿宋" w:eastAsia="黑体"/>
          <w:sz w:val="28"/>
          <w:szCs w:val="28"/>
          <w:lang w:eastAsia="zh-CN"/>
        </w:rPr>
        <w:t>财政拨款收入支出决算总表</w:t>
      </w:r>
    </w:p>
    <w:tbl>
      <w:tblPr>
        <w:tblStyle w:val="1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6699"/>
        <w:gridCol w:w="2000"/>
        <w:gridCol w:w="669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gridSpan w:val="3"/>
            <w:noWrap w:val="0"/>
            <w:vAlign w:val="top"/>
          </w:tcPr>
          <w:p>
            <w:pPr>
              <w:jc w:val="right"/>
              <w:rPr>
                <w:rFonts w:hint="eastAsia" w:ascii="宋体" w:hAnsi="宋体" w:eastAsia="宋体" w:cs="宋体"/>
                <w:sz w:val="20"/>
                <w:szCs w:val="20"/>
              </w:rPr>
            </w:pPr>
            <w:r>
              <w:rPr>
                <w:rFonts w:hint="eastAsia" w:ascii="宋体" w:hAnsi="宋体" w:eastAsia="宋体" w:cs="宋体"/>
                <w:sz w:val="20"/>
                <w:szCs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noWrap w:val="0"/>
            <w:vAlign w:val="top"/>
          </w:tcPr>
          <w:p>
            <w:pPr>
              <w:jc w:val="left"/>
              <w:rPr>
                <w:rFonts w:hint="eastAsia" w:ascii="宋体" w:hAnsi="宋体" w:eastAsia="宋体" w:cs="宋体"/>
                <w:sz w:val="20"/>
                <w:szCs w:val="20"/>
              </w:rPr>
            </w:pPr>
            <w:r>
              <w:rPr>
                <w:rFonts w:hint="eastAsia" w:ascii="宋体" w:hAnsi="宋体" w:eastAsia="宋体" w:cs="宋体"/>
                <w:sz w:val="20"/>
                <w:szCs w:val="20"/>
              </w:rPr>
              <w:t>单位：长沙市青少年宫</w:t>
            </w:r>
          </w:p>
        </w:tc>
        <w:tc>
          <w:tcPr>
            <w:tcW w:w="2000" w:type="dxa"/>
            <w:noWrap w:val="0"/>
            <w:vAlign w:val="top"/>
          </w:tcPr>
          <w:p>
            <w:pPr>
              <w:jc w:val="center"/>
              <w:rPr>
                <w:rFonts w:hint="eastAsia" w:ascii="宋体" w:hAnsi="宋体" w:eastAsia="宋体" w:cs="宋体"/>
                <w:sz w:val="20"/>
                <w:szCs w:val="20"/>
              </w:rPr>
            </w:pPr>
            <w:r>
              <w:rPr>
                <w:rFonts w:hint="eastAsia" w:ascii="宋体" w:hAnsi="宋体" w:eastAsia="宋体" w:cs="宋体"/>
                <w:sz w:val="20"/>
                <w:szCs w:val="20"/>
              </w:rPr>
              <w:t>2023年度</w:t>
            </w:r>
          </w:p>
        </w:tc>
        <w:tc>
          <w:tcPr>
            <w:tcW w:w="6699" w:type="dxa"/>
            <w:noWrap w:val="0"/>
            <w:vAlign w:val="top"/>
          </w:tcPr>
          <w:p>
            <w:pPr>
              <w:jc w:val="right"/>
              <w:rPr>
                <w:rFonts w:hint="eastAsia" w:ascii="宋体" w:hAnsi="宋体" w:eastAsia="宋体" w:cs="宋体"/>
                <w:sz w:val="20"/>
                <w:szCs w:val="20"/>
              </w:rPr>
            </w:pPr>
            <w:r>
              <w:rPr>
                <w:rFonts w:hint="eastAsia" w:ascii="宋体" w:hAnsi="宋体" w:eastAsia="宋体" w:cs="宋体"/>
                <w:sz w:val="20"/>
                <w:szCs w:val="20"/>
              </w:rPr>
              <w:t>单位：万元</w:t>
            </w:r>
          </w:p>
        </w:tc>
      </w:tr>
    </w:tbl>
    <w:p>
      <w:pPr>
        <w:snapToGrid w:val="0"/>
        <w:spacing w:line="0" w:lineRule="auto"/>
        <w:rPr>
          <w:rFonts w:hint="eastAsia" w:ascii="宋体" w:hAnsi="宋体" w:eastAsia="宋体" w:cs="宋体"/>
          <w:sz w:val="21"/>
          <w:szCs w:val="21"/>
        </w:rPr>
      </w:pPr>
      <w:r>
        <w:rPr>
          <w:rFonts w:hint="eastAsia" w:ascii="宋体" w:hAnsi="宋体" w:eastAsia="宋体" w:cs="宋体"/>
          <w:sz w:val="21"/>
          <w:szCs w:val="21"/>
        </w:rPr>
        <w:t xml:space="preserve"> </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040"/>
        <w:gridCol w:w="520"/>
        <w:gridCol w:w="1560"/>
        <w:gridCol w:w="3400"/>
        <w:gridCol w:w="520"/>
        <w:gridCol w:w="1560"/>
        <w:gridCol w:w="1560"/>
        <w:gridCol w:w="1560"/>
        <w:gridCol w:w="16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收     入</w:t>
            </w:r>
          </w:p>
        </w:tc>
        <w:tc>
          <w:tcPr>
            <w:tcW w:w="3400" w:type="dxa"/>
            <w:gridSpan w:val="6"/>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97" w:hRule="exact"/>
          <w:jc w:val="center"/>
        </w:trPr>
        <w:tc>
          <w:tcPr>
            <w:tcW w:w="304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项目</w:t>
            </w:r>
          </w:p>
        </w:tc>
        <w:tc>
          <w:tcPr>
            <w:tcW w:w="52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行次</w:t>
            </w:r>
          </w:p>
        </w:tc>
        <w:tc>
          <w:tcPr>
            <w:tcW w:w="156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金额</w:t>
            </w:r>
          </w:p>
        </w:tc>
        <w:tc>
          <w:tcPr>
            <w:tcW w:w="340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项目</w:t>
            </w:r>
          </w:p>
        </w:tc>
        <w:tc>
          <w:tcPr>
            <w:tcW w:w="52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行次</w:t>
            </w:r>
          </w:p>
        </w:tc>
        <w:tc>
          <w:tcPr>
            <w:tcW w:w="156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合计</w:t>
            </w:r>
          </w:p>
        </w:tc>
        <w:tc>
          <w:tcPr>
            <w:tcW w:w="156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一般公共预算财政拨款</w:t>
            </w:r>
          </w:p>
        </w:tc>
        <w:tc>
          <w:tcPr>
            <w:tcW w:w="156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政府性基金预算财政拨款</w:t>
            </w:r>
          </w:p>
        </w:tc>
        <w:tc>
          <w:tcPr>
            <w:tcW w:w="1678"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835" w:hRule="exact"/>
          <w:jc w:val="center"/>
        </w:trPr>
        <w:tc>
          <w:tcPr>
            <w:tcW w:w="3040" w:type="dxa"/>
            <w:vMerge w:val="continue"/>
            <w:noWrap w:val="0"/>
            <w:vAlign w:val="center"/>
          </w:tcPr>
          <w:p>
            <w:pPr>
              <w:rPr>
                <w:rFonts w:hint="eastAsia" w:ascii="宋体" w:hAnsi="宋体" w:eastAsia="宋体" w:cs="宋体"/>
                <w:sz w:val="21"/>
                <w:szCs w:val="21"/>
              </w:rPr>
            </w:pPr>
          </w:p>
        </w:tc>
        <w:tc>
          <w:tcPr>
            <w:tcW w:w="520" w:type="dxa"/>
            <w:vMerge w:val="continue"/>
            <w:noWrap w:val="0"/>
            <w:vAlign w:val="center"/>
          </w:tcPr>
          <w:p>
            <w:pPr>
              <w:rPr>
                <w:rFonts w:hint="eastAsia" w:ascii="宋体" w:hAnsi="宋体" w:eastAsia="宋体" w:cs="宋体"/>
                <w:sz w:val="21"/>
                <w:szCs w:val="21"/>
              </w:rPr>
            </w:pPr>
          </w:p>
        </w:tc>
        <w:tc>
          <w:tcPr>
            <w:tcW w:w="1560" w:type="dxa"/>
            <w:vMerge w:val="continue"/>
            <w:noWrap w:val="0"/>
            <w:vAlign w:val="center"/>
          </w:tcPr>
          <w:p>
            <w:pPr>
              <w:rPr>
                <w:rFonts w:hint="eastAsia" w:ascii="宋体" w:hAnsi="宋体" w:eastAsia="宋体" w:cs="宋体"/>
                <w:sz w:val="21"/>
                <w:szCs w:val="21"/>
              </w:rPr>
            </w:pPr>
          </w:p>
        </w:tc>
        <w:tc>
          <w:tcPr>
            <w:tcW w:w="3400" w:type="dxa"/>
            <w:vMerge w:val="continue"/>
            <w:noWrap w:val="0"/>
            <w:vAlign w:val="center"/>
          </w:tcPr>
          <w:p>
            <w:pPr>
              <w:rPr>
                <w:rFonts w:hint="eastAsia" w:ascii="宋体" w:hAnsi="宋体" w:eastAsia="宋体" w:cs="宋体"/>
                <w:sz w:val="21"/>
                <w:szCs w:val="21"/>
              </w:rPr>
            </w:pPr>
          </w:p>
        </w:tc>
        <w:tc>
          <w:tcPr>
            <w:tcW w:w="520" w:type="dxa"/>
            <w:vMerge w:val="continue"/>
            <w:noWrap w:val="0"/>
            <w:vAlign w:val="center"/>
          </w:tcPr>
          <w:p>
            <w:pPr>
              <w:rPr>
                <w:rFonts w:hint="eastAsia" w:ascii="宋体" w:hAnsi="宋体" w:eastAsia="宋体" w:cs="宋体"/>
                <w:sz w:val="21"/>
                <w:szCs w:val="21"/>
              </w:rPr>
            </w:pPr>
          </w:p>
        </w:tc>
        <w:tc>
          <w:tcPr>
            <w:tcW w:w="1560" w:type="dxa"/>
            <w:vMerge w:val="continue"/>
            <w:noWrap w:val="0"/>
            <w:vAlign w:val="center"/>
          </w:tcPr>
          <w:p>
            <w:pPr>
              <w:rPr>
                <w:rFonts w:hint="eastAsia" w:ascii="宋体" w:hAnsi="宋体" w:eastAsia="宋体" w:cs="宋体"/>
                <w:sz w:val="21"/>
                <w:szCs w:val="21"/>
              </w:rPr>
            </w:pPr>
          </w:p>
        </w:tc>
        <w:tc>
          <w:tcPr>
            <w:tcW w:w="1560" w:type="dxa"/>
            <w:vMerge w:val="continue"/>
            <w:noWrap w:val="0"/>
            <w:vAlign w:val="center"/>
          </w:tcPr>
          <w:p>
            <w:pPr>
              <w:rPr>
                <w:rFonts w:hint="eastAsia" w:ascii="宋体" w:hAnsi="宋体" w:eastAsia="宋体" w:cs="宋体"/>
                <w:sz w:val="21"/>
                <w:szCs w:val="21"/>
              </w:rPr>
            </w:pPr>
          </w:p>
        </w:tc>
        <w:tc>
          <w:tcPr>
            <w:tcW w:w="1560" w:type="dxa"/>
            <w:vMerge w:val="continue"/>
            <w:noWrap w:val="0"/>
            <w:vAlign w:val="center"/>
          </w:tcPr>
          <w:p>
            <w:pPr>
              <w:rPr>
                <w:rFonts w:hint="eastAsia" w:ascii="宋体" w:hAnsi="宋体" w:eastAsia="宋体" w:cs="宋体"/>
                <w:sz w:val="21"/>
                <w:szCs w:val="21"/>
              </w:rPr>
            </w:pPr>
          </w:p>
        </w:tc>
        <w:tc>
          <w:tcPr>
            <w:tcW w:w="167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栏次</w:t>
            </w:r>
          </w:p>
        </w:tc>
        <w:tc>
          <w:tcPr>
            <w:tcW w:w="520" w:type="dxa"/>
            <w:noWrap w:val="0"/>
            <w:vAlign w:val="center"/>
          </w:tcPr>
          <w:p>
            <w:pPr>
              <w:rPr>
                <w:rFonts w:hint="eastAsia" w:ascii="宋体" w:hAnsi="宋体" w:eastAsia="宋体" w:cs="宋体"/>
                <w:sz w:val="21"/>
                <w:szCs w:val="21"/>
              </w:rPr>
            </w:pPr>
          </w:p>
        </w:tc>
        <w:tc>
          <w:tcPr>
            <w:tcW w:w="156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340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栏次</w:t>
            </w:r>
          </w:p>
        </w:tc>
        <w:tc>
          <w:tcPr>
            <w:tcW w:w="520" w:type="dxa"/>
            <w:noWrap w:val="0"/>
            <w:vAlign w:val="center"/>
          </w:tcPr>
          <w:p>
            <w:pPr>
              <w:rPr>
                <w:rFonts w:hint="eastAsia" w:ascii="宋体" w:hAnsi="宋体" w:eastAsia="宋体" w:cs="宋体"/>
                <w:sz w:val="21"/>
                <w:szCs w:val="21"/>
              </w:rPr>
            </w:pPr>
          </w:p>
        </w:tc>
        <w:tc>
          <w:tcPr>
            <w:tcW w:w="156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56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56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1678"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一、一般公共预算财政拨款</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一、一般公共服务支出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33</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二、政府性基金预算财政拨款</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二、外交支出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34</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三、国有资本经营预算财政拨款</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三、国防支出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35</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四、公共安全支出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36</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五、教育支出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37</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六、科学技术支出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38</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7</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七、文化旅游体育与传媒支出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39</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8</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八、社会保障和就业支出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9</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九、卫生健康支出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41</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10</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十、节能环保支出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42</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11</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十一、城乡社区支出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43</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12</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十二、农林水支出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44</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13</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十三、交通运输支出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45</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14</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十四、资源勘探工业信息等支出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46</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15</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十五、商业服务业等支出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47</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16</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十六、金融支出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48</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17</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十七、援助其他地区支出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49</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18</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十八、自然资源海洋气象等支出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19</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十九、住房保障支出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51</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20</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二十、粮油物资储备支出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52</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21</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二十一、国有资本经营预算支出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53</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22</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二十二、灾害防治及应急管理支出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54</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23</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二十三、其他支出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55</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24</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二十四、债务还本支出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56</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25</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二十五、债务付息支出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57</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26</w:t>
            </w:r>
          </w:p>
        </w:tc>
        <w:tc>
          <w:tcPr>
            <w:tcW w:w="1560" w:type="dxa"/>
            <w:noWrap w:val="0"/>
            <w:vAlign w:val="center"/>
          </w:tcPr>
          <w:p>
            <w:pPr>
              <w:rPr>
                <w:rFonts w:hint="eastAsia" w:ascii="宋体" w:hAnsi="宋体" w:eastAsia="宋体" w:cs="宋体"/>
                <w:sz w:val="21"/>
                <w:szCs w:val="21"/>
              </w:rPr>
            </w:pP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二十六、抗疫特别国债安排的支出</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58</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center"/>
              <w:rPr>
                <w:rFonts w:hint="eastAsia" w:ascii="宋体" w:hAnsi="宋体" w:eastAsia="宋体" w:cs="宋体"/>
                <w:sz w:val="21"/>
                <w:szCs w:val="21"/>
              </w:rPr>
            </w:pPr>
            <w:r>
              <w:rPr>
                <w:rFonts w:hint="eastAsia" w:ascii="宋体" w:hAnsi="宋体" w:eastAsia="宋体" w:cs="宋体"/>
                <w:b/>
                <w:color w:val="000000"/>
                <w:sz w:val="21"/>
                <w:szCs w:val="21"/>
              </w:rPr>
              <w:t>本年收入合计</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27</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3400" w:type="dxa"/>
            <w:noWrap w:val="0"/>
            <w:vAlign w:val="center"/>
          </w:tcPr>
          <w:p>
            <w:pPr>
              <w:jc w:val="center"/>
              <w:rPr>
                <w:rFonts w:hint="eastAsia" w:ascii="宋体" w:hAnsi="宋体" w:eastAsia="宋体" w:cs="宋体"/>
                <w:sz w:val="21"/>
                <w:szCs w:val="21"/>
              </w:rPr>
            </w:pPr>
            <w:r>
              <w:rPr>
                <w:rFonts w:hint="eastAsia" w:ascii="宋体" w:hAnsi="宋体" w:eastAsia="宋体" w:cs="宋体"/>
                <w:b/>
                <w:color w:val="000000"/>
                <w:sz w:val="21"/>
                <w:szCs w:val="21"/>
              </w:rPr>
              <w:t>本年支出合计</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59</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年初财政拨款结转和结余</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28</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340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年末财政拨款结转和结余</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 xml:space="preserve">  一般公共预算财政拨款</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29</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340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61</w:t>
            </w:r>
          </w:p>
        </w:tc>
        <w:tc>
          <w:tcPr>
            <w:tcW w:w="1560" w:type="dxa"/>
            <w:noWrap w:val="0"/>
            <w:vAlign w:val="center"/>
          </w:tcPr>
          <w:p>
            <w:pPr>
              <w:rPr>
                <w:rFonts w:hint="eastAsia" w:ascii="宋体" w:hAnsi="宋体" w:eastAsia="宋体" w:cs="宋体"/>
                <w:sz w:val="21"/>
                <w:szCs w:val="21"/>
              </w:rPr>
            </w:pPr>
          </w:p>
        </w:tc>
        <w:tc>
          <w:tcPr>
            <w:tcW w:w="1560" w:type="dxa"/>
            <w:noWrap w:val="0"/>
            <w:vAlign w:val="center"/>
          </w:tcPr>
          <w:p>
            <w:pPr>
              <w:rPr>
                <w:rFonts w:hint="eastAsia" w:ascii="宋体" w:hAnsi="宋体" w:eastAsia="宋体" w:cs="宋体"/>
                <w:sz w:val="21"/>
                <w:szCs w:val="21"/>
              </w:rPr>
            </w:pPr>
          </w:p>
        </w:tc>
        <w:tc>
          <w:tcPr>
            <w:tcW w:w="1560" w:type="dxa"/>
            <w:noWrap w:val="0"/>
            <w:vAlign w:val="center"/>
          </w:tcPr>
          <w:p>
            <w:pPr>
              <w:rPr>
                <w:rFonts w:hint="eastAsia" w:ascii="宋体" w:hAnsi="宋体" w:eastAsia="宋体" w:cs="宋体"/>
                <w:sz w:val="21"/>
                <w:szCs w:val="21"/>
              </w:rPr>
            </w:pPr>
          </w:p>
        </w:tc>
        <w:tc>
          <w:tcPr>
            <w:tcW w:w="1678" w:type="dxa"/>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 xml:space="preserve">  政府性基金预算财政拨款</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30</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340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62</w:t>
            </w:r>
          </w:p>
        </w:tc>
        <w:tc>
          <w:tcPr>
            <w:tcW w:w="1560" w:type="dxa"/>
            <w:noWrap w:val="0"/>
            <w:vAlign w:val="center"/>
          </w:tcPr>
          <w:p>
            <w:pPr>
              <w:rPr>
                <w:rFonts w:hint="eastAsia" w:ascii="宋体" w:hAnsi="宋体" w:eastAsia="宋体" w:cs="宋体"/>
                <w:sz w:val="21"/>
                <w:szCs w:val="21"/>
              </w:rPr>
            </w:pPr>
          </w:p>
        </w:tc>
        <w:tc>
          <w:tcPr>
            <w:tcW w:w="1560" w:type="dxa"/>
            <w:noWrap w:val="0"/>
            <w:vAlign w:val="center"/>
          </w:tcPr>
          <w:p>
            <w:pPr>
              <w:rPr>
                <w:rFonts w:hint="eastAsia" w:ascii="宋体" w:hAnsi="宋体" w:eastAsia="宋体" w:cs="宋体"/>
                <w:sz w:val="21"/>
                <w:szCs w:val="21"/>
              </w:rPr>
            </w:pPr>
          </w:p>
        </w:tc>
        <w:tc>
          <w:tcPr>
            <w:tcW w:w="1560" w:type="dxa"/>
            <w:noWrap w:val="0"/>
            <w:vAlign w:val="center"/>
          </w:tcPr>
          <w:p>
            <w:pPr>
              <w:rPr>
                <w:rFonts w:hint="eastAsia" w:ascii="宋体" w:hAnsi="宋体" w:eastAsia="宋体" w:cs="宋体"/>
                <w:sz w:val="21"/>
                <w:szCs w:val="21"/>
              </w:rPr>
            </w:pPr>
          </w:p>
        </w:tc>
        <w:tc>
          <w:tcPr>
            <w:tcW w:w="1678" w:type="dxa"/>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 xml:space="preserve">  国有资本经营预算财政拨款</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31</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3400" w:type="dxa"/>
            <w:noWrap w:val="0"/>
            <w:vAlign w:val="center"/>
          </w:tcPr>
          <w:p>
            <w:pPr>
              <w:rPr>
                <w:rFonts w:hint="eastAsia" w:ascii="宋体" w:hAnsi="宋体" w:eastAsia="宋体" w:cs="宋体"/>
                <w:sz w:val="21"/>
                <w:szCs w:val="21"/>
              </w:rPr>
            </w:pP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63</w:t>
            </w:r>
          </w:p>
        </w:tc>
        <w:tc>
          <w:tcPr>
            <w:tcW w:w="1560" w:type="dxa"/>
            <w:noWrap w:val="0"/>
            <w:vAlign w:val="center"/>
          </w:tcPr>
          <w:p>
            <w:pPr>
              <w:rPr>
                <w:rFonts w:hint="eastAsia" w:ascii="宋体" w:hAnsi="宋体" w:eastAsia="宋体" w:cs="宋体"/>
                <w:sz w:val="21"/>
                <w:szCs w:val="21"/>
              </w:rPr>
            </w:pPr>
          </w:p>
        </w:tc>
        <w:tc>
          <w:tcPr>
            <w:tcW w:w="1560" w:type="dxa"/>
            <w:noWrap w:val="0"/>
            <w:vAlign w:val="center"/>
          </w:tcPr>
          <w:p>
            <w:pPr>
              <w:rPr>
                <w:rFonts w:hint="eastAsia" w:ascii="宋体" w:hAnsi="宋体" w:eastAsia="宋体" w:cs="宋体"/>
                <w:sz w:val="21"/>
                <w:szCs w:val="21"/>
              </w:rPr>
            </w:pPr>
          </w:p>
        </w:tc>
        <w:tc>
          <w:tcPr>
            <w:tcW w:w="1560" w:type="dxa"/>
            <w:noWrap w:val="0"/>
            <w:vAlign w:val="center"/>
          </w:tcPr>
          <w:p>
            <w:pPr>
              <w:rPr>
                <w:rFonts w:hint="eastAsia" w:ascii="宋体" w:hAnsi="宋体" w:eastAsia="宋体" w:cs="宋体"/>
                <w:sz w:val="21"/>
                <w:szCs w:val="21"/>
              </w:rPr>
            </w:pPr>
          </w:p>
        </w:tc>
        <w:tc>
          <w:tcPr>
            <w:tcW w:w="1678" w:type="dxa"/>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noWrap w:val="0"/>
            <w:vAlign w:val="center"/>
          </w:tcPr>
          <w:p>
            <w:pPr>
              <w:jc w:val="center"/>
              <w:rPr>
                <w:rFonts w:hint="eastAsia" w:ascii="宋体" w:hAnsi="宋体" w:eastAsia="宋体" w:cs="宋体"/>
                <w:sz w:val="21"/>
                <w:szCs w:val="21"/>
              </w:rPr>
            </w:pPr>
            <w:r>
              <w:rPr>
                <w:rFonts w:hint="eastAsia" w:ascii="宋体" w:hAnsi="宋体" w:eastAsia="宋体" w:cs="宋体"/>
                <w:b/>
                <w:color w:val="000000"/>
                <w:sz w:val="21"/>
                <w:szCs w:val="21"/>
              </w:rPr>
              <w:t>总计</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32</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3400" w:type="dxa"/>
            <w:noWrap w:val="0"/>
            <w:vAlign w:val="center"/>
          </w:tcPr>
          <w:p>
            <w:pPr>
              <w:jc w:val="center"/>
              <w:rPr>
                <w:rFonts w:hint="eastAsia" w:ascii="宋体" w:hAnsi="宋体" w:eastAsia="宋体" w:cs="宋体"/>
                <w:sz w:val="21"/>
                <w:szCs w:val="21"/>
              </w:rPr>
            </w:pPr>
            <w:r>
              <w:rPr>
                <w:rFonts w:hint="eastAsia" w:ascii="宋体" w:hAnsi="宋体" w:eastAsia="宋体" w:cs="宋体"/>
                <w:b/>
                <w:color w:val="000000"/>
                <w:sz w:val="21"/>
                <w:szCs w:val="21"/>
              </w:rPr>
              <w:t>总计</w:t>
            </w:r>
          </w:p>
        </w:tc>
        <w:tc>
          <w:tcPr>
            <w:tcW w:w="5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64</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5,351.47</w:t>
            </w:r>
          </w:p>
        </w:tc>
        <w:tc>
          <w:tcPr>
            <w:tcW w:w="15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6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8" w:hRule="exact"/>
          <w:jc w:val="center"/>
        </w:trPr>
        <w:tc>
          <w:tcPr>
            <w:tcW w:w="3040" w:type="dxa"/>
            <w:gridSpan w:val="8"/>
            <w:tcBorders>
              <w:left w:val="single" w:color="FFFFFF" w:sz="4" w:space="0"/>
              <w:bottom w:val="single" w:color="FFFFFF" w:sz="4" w:space="0"/>
              <w:right w:val="single" w:color="FFFFFF"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注：本表反映部门本年度一般公共预算财政拨款、政府性基金预算财政拨款和国有资本经营预算财政拨款的总收支和年末结转结余情况。</w:t>
            </w:r>
          </w:p>
        </w:tc>
        <w:tc>
          <w:tcPr>
            <w:tcW w:w="1678" w:type="dxa"/>
            <w:tcBorders>
              <w:left w:val="single" w:color="FFFFFF" w:sz="4" w:space="0"/>
              <w:bottom w:val="single" w:color="FFFFFF" w:sz="4" w:space="0"/>
              <w:right w:val="single" w:color="FFFFFF" w:sz="4" w:space="0"/>
            </w:tcBorders>
            <w:noWrap w:val="0"/>
            <w:vAlign w:val="center"/>
          </w:tcPr>
          <w:p>
            <w:pPr>
              <w:rPr>
                <w:rFonts w:hint="eastAsia" w:ascii="宋体" w:hAnsi="宋体" w:eastAsia="宋体" w:cs="宋体"/>
                <w:sz w:val="21"/>
                <w:szCs w:val="21"/>
              </w:rPr>
            </w:pPr>
          </w:p>
        </w:tc>
      </w:tr>
    </w:tbl>
    <w:p>
      <w:pPr>
        <w:snapToGrid w:val="0"/>
        <w:spacing w:before="200" w:after="200" w:line="200" w:lineRule="auto"/>
        <w:rPr>
          <w:rFonts w:hint="eastAsia" w:ascii="宋体" w:hAnsi="宋体" w:eastAsia="宋体" w:cs="宋体"/>
          <w:sz w:val="21"/>
          <w:szCs w:val="21"/>
        </w:rPr>
      </w:pPr>
      <w:r>
        <w:rPr>
          <w:rFonts w:hint="eastAsia" w:ascii="宋体" w:hAnsi="宋体" w:eastAsia="宋体" w:cs="宋体"/>
          <w:sz w:val="21"/>
          <w:szCs w:val="21"/>
        </w:rPr>
        <w:t xml:space="preserve"> </w:t>
      </w:r>
    </w:p>
    <w:p>
      <w:pPr>
        <w:rPr>
          <w:rFonts w:ascii="黑体" w:hAnsi="仿宋" w:eastAsia="黑体"/>
          <w:sz w:val="28"/>
          <w:szCs w:val="28"/>
        </w:rPr>
      </w:pPr>
    </w:p>
    <w:p>
      <w:pPr>
        <w:pStyle w:val="2"/>
        <w:rPr>
          <w:rFonts w:hint="eastAsia" w:eastAsia="黑体"/>
          <w:lang w:eastAsia="zh-CN"/>
        </w:rPr>
      </w:pPr>
    </w:p>
    <w:p>
      <w:pPr>
        <w:pStyle w:val="3"/>
        <w:rPr>
          <w:rFonts w:hint="eastAsia" w:eastAsia="黑体"/>
          <w:lang w:eastAsia="zh-CN"/>
        </w:rPr>
      </w:pPr>
    </w:p>
    <w:p>
      <w:pPr>
        <w:rPr>
          <w:rFonts w:hint="eastAsia" w:eastAsia="黑体"/>
          <w:lang w:eastAsia="zh-CN"/>
        </w:rPr>
      </w:pPr>
    </w:p>
    <w:p>
      <w:pPr>
        <w:pStyle w:val="2"/>
        <w:rPr>
          <w:rFonts w:hint="eastAsia" w:eastAsia="黑体"/>
          <w:lang w:eastAsia="zh-CN"/>
        </w:rPr>
      </w:pPr>
    </w:p>
    <w:p>
      <w:pPr>
        <w:pStyle w:val="3"/>
        <w:rPr>
          <w:rFonts w:hint="eastAsia" w:eastAsia="黑体"/>
          <w:lang w:eastAsia="zh-CN"/>
        </w:rPr>
      </w:pPr>
    </w:p>
    <w:p>
      <w:pPr>
        <w:rPr>
          <w:rFonts w:hint="eastAsia" w:eastAsia="黑体"/>
          <w:lang w:eastAsia="zh-CN"/>
        </w:rPr>
      </w:pPr>
    </w:p>
    <w:p>
      <w:pPr>
        <w:pStyle w:val="2"/>
        <w:rPr>
          <w:rFonts w:hint="eastAsia"/>
          <w:lang w:eastAsia="zh-CN"/>
        </w:rPr>
      </w:pPr>
    </w:p>
    <w:p>
      <w:pPr>
        <w:jc w:val="left"/>
        <w:rPr>
          <w:rFonts w:ascii="黑体" w:hAnsi="仿宋" w:eastAsia="黑体"/>
          <w:sz w:val="28"/>
          <w:szCs w:val="28"/>
        </w:rPr>
      </w:pPr>
      <w:r>
        <w:rPr>
          <w:rFonts w:hint="eastAsia" w:ascii="黑体" w:hAnsi="仿宋" w:eastAsia="黑体"/>
          <w:sz w:val="28"/>
          <w:szCs w:val="28"/>
        </w:rPr>
        <w:t>五、一般公共预算财政拨款支出决算表</w:t>
      </w:r>
    </w:p>
    <w:p>
      <w:pPr>
        <w:pStyle w:val="8"/>
        <w:jc w:val="center"/>
        <w:rPr>
          <w:rFonts w:ascii="黑体" w:hAnsi="仿宋" w:eastAsia="黑体"/>
          <w:sz w:val="28"/>
          <w:szCs w:val="28"/>
          <w:lang w:eastAsia="zh-CN"/>
        </w:rPr>
      </w:pPr>
      <w:r>
        <w:rPr>
          <w:rFonts w:hint="eastAsia" w:ascii="黑体" w:hAnsi="仿宋" w:eastAsia="黑体"/>
          <w:sz w:val="28"/>
          <w:szCs w:val="28"/>
          <w:lang w:eastAsia="zh-CN"/>
        </w:rPr>
        <w:t>一般公共预算财政拨款支出决算表</w:t>
      </w:r>
    </w:p>
    <w:tbl>
      <w:tblPr>
        <w:tblStyle w:val="1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6699"/>
        <w:gridCol w:w="2000"/>
        <w:gridCol w:w="669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gridSpan w:val="3"/>
            <w:noWrap w:val="0"/>
            <w:vAlign w:val="top"/>
          </w:tcPr>
          <w:p>
            <w:pPr>
              <w:jc w:val="right"/>
            </w:pPr>
            <w:r>
              <w:rPr>
                <w:rFonts w:ascii="宋体" w:hAnsi="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noWrap w:val="0"/>
            <w:vAlign w:val="top"/>
          </w:tcPr>
          <w:p>
            <w:pPr>
              <w:jc w:val="left"/>
            </w:pPr>
            <w:r>
              <w:rPr>
                <w:rFonts w:ascii="宋体" w:hAnsi="宋体" w:cs="宋体"/>
                <w:sz w:val="20"/>
              </w:rPr>
              <w:t>单位：长沙市青少年宫</w:t>
            </w:r>
          </w:p>
        </w:tc>
        <w:tc>
          <w:tcPr>
            <w:tcW w:w="2000" w:type="dxa"/>
            <w:noWrap w:val="0"/>
            <w:vAlign w:val="top"/>
          </w:tcPr>
          <w:p>
            <w:pPr>
              <w:jc w:val="center"/>
            </w:pPr>
            <w:r>
              <w:rPr>
                <w:rFonts w:ascii="宋体" w:hAnsi="宋体" w:cs="宋体"/>
                <w:sz w:val="20"/>
              </w:rPr>
              <w:t>2023年度</w:t>
            </w:r>
          </w:p>
        </w:tc>
        <w:tc>
          <w:tcPr>
            <w:tcW w:w="6699" w:type="dxa"/>
            <w:noWrap w:val="0"/>
            <w:vAlign w:val="top"/>
          </w:tcPr>
          <w:p>
            <w:pPr>
              <w:jc w:val="right"/>
            </w:pPr>
            <w:r>
              <w:rPr>
                <w:rFonts w:ascii="宋体" w:hAnsi="宋体" w:cs="宋体"/>
                <w:sz w:val="20"/>
              </w:rPr>
              <w:t>单位：万元</w:t>
            </w:r>
          </w:p>
        </w:tc>
      </w:tr>
    </w:tbl>
    <w:p>
      <w:pPr>
        <w:snapToGrid w:val="0"/>
        <w:spacing w:line="0" w:lineRule="auto"/>
      </w:pPr>
      <w:r>
        <w:rPr>
          <w:sz w:val="8"/>
        </w:rPr>
        <w:t xml:space="preserve"> </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447"/>
        <w:gridCol w:w="4173"/>
        <w:gridCol w:w="2960"/>
        <w:gridCol w:w="2960"/>
        <w:gridCol w:w="29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44" w:hRule="exact"/>
          <w:jc w:val="center"/>
        </w:trPr>
        <w:tc>
          <w:tcPr>
            <w:tcW w:w="562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项目</w:t>
            </w:r>
          </w:p>
        </w:tc>
        <w:tc>
          <w:tcPr>
            <w:tcW w:w="8898"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14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科目代码</w:t>
            </w:r>
          </w:p>
        </w:tc>
        <w:tc>
          <w:tcPr>
            <w:tcW w:w="41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科目名称</w:t>
            </w:r>
          </w:p>
        </w:tc>
        <w:tc>
          <w:tcPr>
            <w:tcW w:w="2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小计</w:t>
            </w:r>
          </w:p>
        </w:tc>
        <w:tc>
          <w:tcPr>
            <w:tcW w:w="296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基本支出</w:t>
            </w:r>
          </w:p>
        </w:tc>
        <w:tc>
          <w:tcPr>
            <w:tcW w:w="297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color w:val="000000"/>
                <w:sz w:val="21"/>
                <w:szCs w:val="21"/>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1447" w:type="dxa"/>
            <w:vMerge w:val="continue"/>
            <w:noWrap w:val="0"/>
            <w:vAlign w:val="center"/>
          </w:tcPr>
          <w:p>
            <w:pPr>
              <w:rPr>
                <w:rFonts w:hint="eastAsia" w:ascii="宋体" w:hAnsi="宋体" w:eastAsia="宋体" w:cs="宋体"/>
                <w:sz w:val="21"/>
                <w:szCs w:val="21"/>
              </w:rPr>
            </w:pPr>
          </w:p>
        </w:tc>
        <w:tc>
          <w:tcPr>
            <w:tcW w:w="4173" w:type="dxa"/>
            <w:vMerge w:val="continue"/>
            <w:noWrap w:val="0"/>
            <w:vAlign w:val="center"/>
          </w:tcPr>
          <w:p>
            <w:pPr>
              <w:rPr>
                <w:rFonts w:hint="eastAsia" w:ascii="宋体" w:hAnsi="宋体" w:eastAsia="宋体" w:cs="宋体"/>
                <w:sz w:val="21"/>
                <w:szCs w:val="21"/>
              </w:rPr>
            </w:pPr>
          </w:p>
        </w:tc>
        <w:tc>
          <w:tcPr>
            <w:tcW w:w="2960" w:type="dxa"/>
            <w:vMerge w:val="continue"/>
            <w:noWrap w:val="0"/>
            <w:vAlign w:val="center"/>
          </w:tcPr>
          <w:p>
            <w:pPr>
              <w:rPr>
                <w:rFonts w:hint="eastAsia" w:ascii="宋体" w:hAnsi="宋体" w:eastAsia="宋体" w:cs="宋体"/>
                <w:sz w:val="21"/>
                <w:szCs w:val="21"/>
              </w:rPr>
            </w:pPr>
          </w:p>
        </w:tc>
        <w:tc>
          <w:tcPr>
            <w:tcW w:w="2960" w:type="dxa"/>
            <w:vMerge w:val="continue"/>
            <w:noWrap w:val="0"/>
            <w:vAlign w:val="center"/>
          </w:tcPr>
          <w:p>
            <w:pPr>
              <w:rPr>
                <w:rFonts w:hint="eastAsia" w:ascii="宋体" w:hAnsi="宋体" w:eastAsia="宋体" w:cs="宋体"/>
                <w:sz w:val="21"/>
                <w:szCs w:val="21"/>
              </w:rPr>
            </w:pPr>
          </w:p>
        </w:tc>
        <w:tc>
          <w:tcPr>
            <w:tcW w:w="297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auto"/>
          <w:wAfter w:w="0" w:type="auto"/>
          <w:trHeight w:val="363" w:hRule="exact"/>
          <w:jc w:val="center"/>
        </w:trPr>
        <w:tc>
          <w:tcPr>
            <w:tcW w:w="1447" w:type="dxa"/>
            <w:vMerge w:val="continue"/>
            <w:noWrap w:val="0"/>
            <w:vAlign w:val="center"/>
          </w:tcPr>
          <w:p>
            <w:pPr>
              <w:rPr>
                <w:rFonts w:hint="eastAsia" w:ascii="宋体" w:hAnsi="宋体" w:eastAsia="宋体" w:cs="宋体"/>
                <w:sz w:val="21"/>
                <w:szCs w:val="21"/>
              </w:rPr>
            </w:pPr>
          </w:p>
        </w:tc>
        <w:tc>
          <w:tcPr>
            <w:tcW w:w="4173" w:type="dxa"/>
            <w:vMerge w:val="continue"/>
            <w:noWrap w:val="0"/>
            <w:vAlign w:val="center"/>
          </w:tcPr>
          <w:p>
            <w:pPr>
              <w:rPr>
                <w:rFonts w:hint="eastAsia" w:ascii="宋体" w:hAnsi="宋体" w:eastAsia="宋体" w:cs="宋体"/>
                <w:sz w:val="21"/>
                <w:szCs w:val="21"/>
              </w:rPr>
            </w:pPr>
          </w:p>
        </w:tc>
        <w:tc>
          <w:tcPr>
            <w:tcW w:w="2960" w:type="dxa"/>
            <w:vMerge w:val="continue"/>
            <w:noWrap w:val="0"/>
            <w:vAlign w:val="center"/>
          </w:tcPr>
          <w:p>
            <w:pPr>
              <w:rPr>
                <w:rFonts w:hint="eastAsia" w:ascii="宋体" w:hAnsi="宋体" w:eastAsia="宋体" w:cs="宋体"/>
                <w:sz w:val="21"/>
                <w:szCs w:val="21"/>
              </w:rPr>
            </w:pPr>
          </w:p>
        </w:tc>
        <w:tc>
          <w:tcPr>
            <w:tcW w:w="2960" w:type="dxa"/>
            <w:vMerge w:val="continue"/>
            <w:noWrap w:val="0"/>
            <w:vAlign w:val="center"/>
          </w:tcPr>
          <w:p>
            <w:pPr>
              <w:rPr>
                <w:rFonts w:hint="eastAsia" w:ascii="宋体" w:hAnsi="宋体" w:eastAsia="宋体" w:cs="宋体"/>
                <w:sz w:val="21"/>
                <w:szCs w:val="21"/>
              </w:rPr>
            </w:pPr>
          </w:p>
        </w:tc>
        <w:tc>
          <w:tcPr>
            <w:tcW w:w="297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562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栏次</w:t>
            </w:r>
          </w:p>
        </w:tc>
        <w:tc>
          <w:tcPr>
            <w:tcW w:w="296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296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2978"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562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合计</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5,351.47</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1,921.18</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3,430.29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1447"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201</w:t>
            </w:r>
          </w:p>
        </w:tc>
        <w:tc>
          <w:tcPr>
            <w:tcW w:w="4173"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一般公共服务支出</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auto"/>
          <w:wAfter w:w="0" w:type="auto"/>
          <w:trHeight w:val="363" w:hRule="exact"/>
          <w:jc w:val="center"/>
        </w:trPr>
        <w:tc>
          <w:tcPr>
            <w:tcW w:w="1447"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20131</w:t>
            </w:r>
          </w:p>
        </w:tc>
        <w:tc>
          <w:tcPr>
            <w:tcW w:w="4173"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党委办公厅（室）及相关机构事务</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1447"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2013105</w:t>
            </w:r>
          </w:p>
        </w:tc>
        <w:tc>
          <w:tcPr>
            <w:tcW w:w="4173"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专项业务</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1447"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205</w:t>
            </w:r>
          </w:p>
        </w:tc>
        <w:tc>
          <w:tcPr>
            <w:tcW w:w="4173"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教育支出</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1,921.18</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3,421.70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1447"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20599</w:t>
            </w:r>
          </w:p>
        </w:tc>
        <w:tc>
          <w:tcPr>
            <w:tcW w:w="4173"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其他教育支出</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1,921.18</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3,421.70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auto"/>
          <w:wAfter w:w="0" w:type="auto"/>
          <w:trHeight w:val="363" w:hRule="exact"/>
          <w:jc w:val="center"/>
        </w:trPr>
        <w:tc>
          <w:tcPr>
            <w:tcW w:w="1447"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2059999</w:t>
            </w:r>
          </w:p>
        </w:tc>
        <w:tc>
          <w:tcPr>
            <w:tcW w:w="4173"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其他教育支出</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5,342.88</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1,921.18</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3,421.70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1447"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206</w:t>
            </w:r>
          </w:p>
        </w:tc>
        <w:tc>
          <w:tcPr>
            <w:tcW w:w="4173"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科学技术支出</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1447"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20607</w:t>
            </w:r>
          </w:p>
        </w:tc>
        <w:tc>
          <w:tcPr>
            <w:tcW w:w="4173"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科学技术普及</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auto"/>
          <w:wAfter w:w="0" w:type="auto"/>
          <w:trHeight w:val="363" w:hRule="exact"/>
          <w:jc w:val="center"/>
        </w:trPr>
        <w:tc>
          <w:tcPr>
            <w:tcW w:w="1447"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2060702</w:t>
            </w:r>
          </w:p>
        </w:tc>
        <w:tc>
          <w:tcPr>
            <w:tcW w:w="4173" w:type="dxa"/>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科普活动</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c>
          <w:tcPr>
            <w:tcW w:w="296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297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auto"/>
          <w:wAfter w:w="0" w:type="auto"/>
          <w:trHeight w:val="594" w:hRule="exact"/>
          <w:jc w:val="center"/>
        </w:trPr>
        <w:tc>
          <w:tcPr>
            <w:tcW w:w="14518" w:type="dxa"/>
            <w:gridSpan w:val="5"/>
            <w:tcBorders>
              <w:left w:val="single" w:color="FFFFFF" w:sz="4" w:space="0"/>
              <w:bottom w:val="single" w:color="FFFFFF" w:sz="4" w:space="0"/>
              <w:right w:val="single" w:color="FFFFFF"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注：本表反映部门本年度一般公共预算财政拨款支出情况。</w:t>
            </w:r>
          </w:p>
        </w:tc>
      </w:tr>
    </w:tbl>
    <w:p>
      <w:pPr>
        <w:snapToGrid w:val="0"/>
        <w:spacing w:before="200" w:after="200" w:line="200" w:lineRule="auto"/>
        <w:rPr>
          <w:rFonts w:hint="eastAsia" w:ascii="宋体" w:hAnsi="宋体" w:eastAsia="宋体" w:cs="宋体"/>
          <w:sz w:val="21"/>
          <w:szCs w:val="21"/>
        </w:rPr>
      </w:pPr>
      <w:r>
        <w:rPr>
          <w:rFonts w:hint="eastAsia" w:ascii="宋体" w:hAnsi="宋体" w:eastAsia="宋体" w:cs="宋体"/>
          <w:sz w:val="21"/>
          <w:szCs w:val="21"/>
        </w:rPr>
        <w:t xml:space="preserve"> </w:t>
      </w:r>
    </w:p>
    <w:p>
      <w:pPr>
        <w:rPr>
          <w:rFonts w:ascii="黑体" w:hAnsi="仿宋" w:eastAsia="黑体"/>
          <w:sz w:val="28"/>
          <w:szCs w:val="28"/>
        </w:rPr>
      </w:pPr>
      <w:r>
        <w:rPr>
          <w:rFonts w:hint="eastAsia" w:ascii="宋体" w:hAnsi="宋体" w:eastAsia="宋体" w:cs="宋体"/>
          <w:sz w:val="21"/>
          <w:szCs w:val="21"/>
        </w:rPr>
        <w:br w:type="page"/>
      </w:r>
    </w:p>
    <w:p>
      <w:pPr>
        <w:jc w:val="left"/>
        <w:rPr>
          <w:rFonts w:ascii="黑体" w:hAnsi="仿宋" w:eastAsia="黑体"/>
          <w:sz w:val="28"/>
          <w:szCs w:val="28"/>
        </w:rPr>
      </w:pPr>
      <w:r>
        <w:rPr>
          <w:rFonts w:hint="eastAsia" w:ascii="黑体" w:hAnsi="仿宋" w:eastAsia="黑体"/>
          <w:sz w:val="28"/>
          <w:szCs w:val="28"/>
        </w:rPr>
        <w:t xml:space="preserve">六、一般公共预算财政拨款基本支出决算表 </w:t>
      </w:r>
    </w:p>
    <w:p>
      <w:pPr>
        <w:jc w:val="center"/>
        <w:rPr>
          <w:rFonts w:ascii="黑体" w:hAnsi="仿宋" w:eastAsia="黑体"/>
          <w:sz w:val="28"/>
          <w:szCs w:val="28"/>
        </w:rPr>
      </w:pPr>
      <w:r>
        <w:rPr>
          <w:rFonts w:hint="eastAsia" w:ascii="黑体" w:hAnsi="仿宋" w:eastAsia="黑体"/>
          <w:sz w:val="28"/>
          <w:szCs w:val="28"/>
        </w:rPr>
        <w:t>一般公共预算财政拨款基本支出决算表</w:t>
      </w:r>
    </w:p>
    <w:tbl>
      <w:tblPr>
        <w:tblStyle w:val="1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6699"/>
        <w:gridCol w:w="2000"/>
        <w:gridCol w:w="669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gridSpan w:val="3"/>
            <w:noWrap w:val="0"/>
            <w:vAlign w:val="top"/>
          </w:tcPr>
          <w:p>
            <w:pPr>
              <w:jc w:val="right"/>
            </w:pPr>
            <w:r>
              <w:rPr>
                <w:rFonts w:ascii="宋体" w:hAnsi="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noWrap w:val="0"/>
            <w:vAlign w:val="top"/>
          </w:tcPr>
          <w:p>
            <w:pPr>
              <w:jc w:val="left"/>
            </w:pPr>
            <w:r>
              <w:rPr>
                <w:rFonts w:ascii="宋体" w:hAnsi="宋体" w:cs="宋体"/>
                <w:sz w:val="20"/>
              </w:rPr>
              <w:t>单位：长沙市青少年宫</w:t>
            </w:r>
          </w:p>
        </w:tc>
        <w:tc>
          <w:tcPr>
            <w:tcW w:w="2000" w:type="dxa"/>
            <w:noWrap w:val="0"/>
            <w:vAlign w:val="top"/>
          </w:tcPr>
          <w:p>
            <w:pPr>
              <w:jc w:val="center"/>
            </w:pPr>
            <w:r>
              <w:rPr>
                <w:rFonts w:ascii="宋体" w:hAnsi="宋体" w:cs="宋体"/>
                <w:sz w:val="20"/>
              </w:rPr>
              <w:t>2023年度</w:t>
            </w:r>
          </w:p>
        </w:tc>
        <w:tc>
          <w:tcPr>
            <w:tcW w:w="6699" w:type="dxa"/>
            <w:noWrap w:val="0"/>
            <w:vAlign w:val="top"/>
          </w:tcPr>
          <w:p>
            <w:pPr>
              <w:jc w:val="right"/>
            </w:pPr>
            <w:r>
              <w:rPr>
                <w:rFonts w:ascii="宋体" w:hAnsi="宋体" w:cs="宋体"/>
                <w:sz w:val="20"/>
              </w:rPr>
              <w:t>单位：万元</w:t>
            </w:r>
          </w:p>
        </w:tc>
      </w:tr>
    </w:tbl>
    <w:p>
      <w:pPr>
        <w:snapToGrid w:val="0"/>
        <w:spacing w:line="0" w:lineRule="auto"/>
      </w:pPr>
      <w:r>
        <w:rPr>
          <w:sz w:val="8"/>
        </w:rPr>
        <w:t xml:space="preserve"> </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20"/>
        <w:gridCol w:w="2940"/>
        <w:gridCol w:w="1500"/>
        <w:gridCol w:w="620"/>
        <w:gridCol w:w="2320"/>
        <w:gridCol w:w="1500"/>
        <w:gridCol w:w="620"/>
        <w:gridCol w:w="3780"/>
        <w:gridCol w:w="14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gridSpan w:val="3"/>
            <w:noWrap w:val="0"/>
            <w:vAlign w:val="center"/>
          </w:tcPr>
          <w:p>
            <w:pPr>
              <w:jc w:val="center"/>
            </w:pPr>
            <w:r>
              <w:rPr>
                <w:rFonts w:ascii="宋体" w:hAnsi="宋体" w:cs="宋体"/>
                <w:color w:val="000000"/>
                <w:sz w:val="18"/>
              </w:rPr>
              <w:t>人员经费</w:t>
            </w:r>
          </w:p>
        </w:tc>
        <w:tc>
          <w:tcPr>
            <w:tcW w:w="620" w:type="dxa"/>
            <w:gridSpan w:val="6"/>
            <w:noWrap w:val="0"/>
            <w:vAlign w:val="center"/>
          </w:tcPr>
          <w:p>
            <w:pPr>
              <w:jc w:val="center"/>
            </w:pPr>
            <w:r>
              <w:rPr>
                <w:rFonts w:ascii="宋体" w:hAnsi="宋体" w:cs="宋体"/>
                <w:color w:val="000000"/>
                <w:sz w:val="18"/>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vMerge w:val="restart"/>
            <w:noWrap w:val="0"/>
            <w:vAlign w:val="center"/>
          </w:tcPr>
          <w:p>
            <w:pPr>
              <w:jc w:val="center"/>
            </w:pPr>
            <w:r>
              <w:rPr>
                <w:rFonts w:ascii="宋体" w:hAnsi="宋体" w:cs="宋体"/>
                <w:color w:val="000000"/>
                <w:sz w:val="18"/>
              </w:rPr>
              <w:t>科目代码</w:t>
            </w:r>
          </w:p>
        </w:tc>
        <w:tc>
          <w:tcPr>
            <w:tcW w:w="2940" w:type="dxa"/>
            <w:vMerge w:val="restart"/>
            <w:noWrap w:val="0"/>
            <w:vAlign w:val="center"/>
          </w:tcPr>
          <w:p>
            <w:pPr>
              <w:jc w:val="center"/>
            </w:pPr>
            <w:r>
              <w:rPr>
                <w:rFonts w:ascii="宋体" w:hAnsi="宋体" w:cs="宋体"/>
                <w:color w:val="000000"/>
                <w:sz w:val="18"/>
              </w:rPr>
              <w:t>科目名称</w:t>
            </w:r>
          </w:p>
        </w:tc>
        <w:tc>
          <w:tcPr>
            <w:tcW w:w="1500" w:type="dxa"/>
            <w:vMerge w:val="restart"/>
            <w:noWrap w:val="0"/>
            <w:vAlign w:val="center"/>
          </w:tcPr>
          <w:p>
            <w:pPr>
              <w:jc w:val="center"/>
            </w:pPr>
            <w:r>
              <w:rPr>
                <w:rFonts w:ascii="宋体" w:hAnsi="宋体" w:cs="宋体"/>
                <w:color w:val="000000"/>
                <w:sz w:val="18"/>
              </w:rPr>
              <w:t>决算数</w:t>
            </w:r>
          </w:p>
        </w:tc>
        <w:tc>
          <w:tcPr>
            <w:tcW w:w="620" w:type="dxa"/>
            <w:vMerge w:val="restart"/>
            <w:noWrap w:val="0"/>
            <w:vAlign w:val="center"/>
          </w:tcPr>
          <w:p>
            <w:pPr>
              <w:jc w:val="center"/>
            </w:pPr>
            <w:r>
              <w:rPr>
                <w:rFonts w:ascii="宋体" w:hAnsi="宋体" w:cs="宋体"/>
                <w:color w:val="000000"/>
                <w:sz w:val="18"/>
              </w:rPr>
              <w:t>科目代码</w:t>
            </w:r>
          </w:p>
        </w:tc>
        <w:tc>
          <w:tcPr>
            <w:tcW w:w="2320" w:type="dxa"/>
            <w:vMerge w:val="restart"/>
            <w:noWrap w:val="0"/>
            <w:vAlign w:val="center"/>
          </w:tcPr>
          <w:p>
            <w:pPr>
              <w:jc w:val="center"/>
            </w:pPr>
            <w:r>
              <w:rPr>
                <w:rFonts w:ascii="宋体" w:hAnsi="宋体" w:cs="宋体"/>
                <w:color w:val="000000"/>
                <w:sz w:val="18"/>
              </w:rPr>
              <w:t>科目名称</w:t>
            </w:r>
          </w:p>
        </w:tc>
        <w:tc>
          <w:tcPr>
            <w:tcW w:w="1500" w:type="dxa"/>
            <w:vMerge w:val="restart"/>
            <w:noWrap w:val="0"/>
            <w:vAlign w:val="center"/>
          </w:tcPr>
          <w:p>
            <w:pPr>
              <w:jc w:val="center"/>
            </w:pPr>
            <w:r>
              <w:rPr>
                <w:rFonts w:ascii="宋体" w:hAnsi="宋体" w:cs="宋体"/>
                <w:color w:val="000000"/>
                <w:sz w:val="18"/>
              </w:rPr>
              <w:t>决算数</w:t>
            </w:r>
          </w:p>
        </w:tc>
        <w:tc>
          <w:tcPr>
            <w:tcW w:w="620" w:type="dxa"/>
            <w:vMerge w:val="restart"/>
            <w:noWrap w:val="0"/>
            <w:vAlign w:val="center"/>
          </w:tcPr>
          <w:p>
            <w:pPr>
              <w:jc w:val="center"/>
            </w:pPr>
            <w:r>
              <w:rPr>
                <w:rFonts w:ascii="宋体" w:hAnsi="宋体" w:cs="宋体"/>
                <w:color w:val="000000"/>
                <w:sz w:val="18"/>
              </w:rPr>
              <w:t>科目代码</w:t>
            </w:r>
          </w:p>
        </w:tc>
        <w:tc>
          <w:tcPr>
            <w:tcW w:w="3780" w:type="dxa"/>
            <w:vMerge w:val="restart"/>
            <w:noWrap w:val="0"/>
            <w:vAlign w:val="center"/>
          </w:tcPr>
          <w:p>
            <w:pPr>
              <w:jc w:val="center"/>
            </w:pPr>
            <w:r>
              <w:rPr>
                <w:rFonts w:ascii="宋体" w:hAnsi="宋体" w:cs="宋体"/>
                <w:color w:val="000000"/>
                <w:sz w:val="18"/>
              </w:rPr>
              <w:t>科目名称</w:t>
            </w:r>
          </w:p>
        </w:tc>
        <w:tc>
          <w:tcPr>
            <w:tcW w:w="1498" w:type="dxa"/>
            <w:vMerge w:val="restart"/>
            <w:noWrap w:val="0"/>
            <w:vAlign w:val="center"/>
          </w:tcPr>
          <w:p>
            <w:pPr>
              <w:jc w:val="center"/>
            </w:pPr>
            <w:r>
              <w:rPr>
                <w:rFonts w:ascii="宋体" w:hAnsi="宋体" w:cs="宋体"/>
                <w:color w:val="000000"/>
                <w:sz w:val="18"/>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vMerge w:val="continue"/>
            <w:noWrap w:val="0"/>
            <w:vAlign w:val="center"/>
          </w:tcPr>
          <w:p/>
        </w:tc>
        <w:tc>
          <w:tcPr>
            <w:tcW w:w="2940" w:type="dxa"/>
            <w:vMerge w:val="continue"/>
            <w:noWrap w:val="0"/>
            <w:vAlign w:val="center"/>
          </w:tcPr>
          <w:p/>
        </w:tc>
        <w:tc>
          <w:tcPr>
            <w:tcW w:w="1500" w:type="dxa"/>
            <w:vMerge w:val="continue"/>
            <w:noWrap w:val="0"/>
            <w:vAlign w:val="center"/>
          </w:tcPr>
          <w:p/>
        </w:tc>
        <w:tc>
          <w:tcPr>
            <w:tcW w:w="620" w:type="dxa"/>
            <w:vMerge w:val="continue"/>
            <w:noWrap w:val="0"/>
            <w:vAlign w:val="center"/>
          </w:tcPr>
          <w:p/>
        </w:tc>
        <w:tc>
          <w:tcPr>
            <w:tcW w:w="2320" w:type="dxa"/>
            <w:vMerge w:val="continue"/>
            <w:noWrap w:val="0"/>
            <w:vAlign w:val="center"/>
          </w:tcPr>
          <w:p/>
        </w:tc>
        <w:tc>
          <w:tcPr>
            <w:tcW w:w="1500" w:type="dxa"/>
            <w:vMerge w:val="continue"/>
            <w:noWrap w:val="0"/>
            <w:vAlign w:val="center"/>
          </w:tcPr>
          <w:p/>
        </w:tc>
        <w:tc>
          <w:tcPr>
            <w:tcW w:w="620" w:type="dxa"/>
            <w:vMerge w:val="continue"/>
            <w:noWrap w:val="0"/>
            <w:vAlign w:val="center"/>
          </w:tcPr>
          <w:p/>
        </w:tc>
        <w:tc>
          <w:tcPr>
            <w:tcW w:w="3780" w:type="dxa"/>
            <w:vMerge w:val="continue"/>
            <w:noWrap w:val="0"/>
            <w:vAlign w:val="center"/>
          </w:tcPr>
          <w:p/>
        </w:tc>
        <w:tc>
          <w:tcPr>
            <w:tcW w:w="1498" w:type="dxa"/>
            <w:vMerge w:val="continue"/>
            <w:noWrap w:val="0"/>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w:t>
            </w:r>
          </w:p>
        </w:tc>
        <w:tc>
          <w:tcPr>
            <w:tcW w:w="2940" w:type="dxa"/>
            <w:noWrap w:val="0"/>
            <w:vAlign w:val="center"/>
          </w:tcPr>
          <w:p>
            <w:pPr>
              <w:jc w:val="left"/>
            </w:pPr>
            <w:r>
              <w:rPr>
                <w:rFonts w:ascii="宋体" w:hAnsi="宋体" w:cs="宋体"/>
                <w:color w:val="000000"/>
                <w:sz w:val="18"/>
              </w:rPr>
              <w:t>工资福利支出</w:t>
            </w:r>
          </w:p>
        </w:tc>
        <w:tc>
          <w:tcPr>
            <w:tcW w:w="1500" w:type="dxa"/>
            <w:noWrap w:val="0"/>
            <w:vAlign w:val="center"/>
          </w:tcPr>
          <w:p>
            <w:pPr>
              <w:jc w:val="right"/>
            </w:pPr>
            <w:r>
              <w:rPr>
                <w:rFonts w:ascii="宋体" w:hAnsi="宋体" w:cs="宋体"/>
                <w:color w:val="000000"/>
                <w:sz w:val="18"/>
              </w:rPr>
              <w:t>1,604.49</w:t>
            </w:r>
          </w:p>
        </w:tc>
        <w:tc>
          <w:tcPr>
            <w:tcW w:w="620" w:type="dxa"/>
            <w:noWrap w:val="0"/>
            <w:vAlign w:val="center"/>
          </w:tcPr>
          <w:p>
            <w:pPr>
              <w:jc w:val="left"/>
            </w:pPr>
            <w:r>
              <w:rPr>
                <w:rFonts w:ascii="宋体" w:hAnsi="宋体" w:cs="宋体"/>
                <w:color w:val="000000"/>
                <w:sz w:val="18"/>
              </w:rPr>
              <w:t>302</w:t>
            </w:r>
          </w:p>
        </w:tc>
        <w:tc>
          <w:tcPr>
            <w:tcW w:w="2320" w:type="dxa"/>
            <w:noWrap w:val="0"/>
            <w:vAlign w:val="center"/>
          </w:tcPr>
          <w:p>
            <w:pPr>
              <w:jc w:val="left"/>
            </w:pPr>
            <w:r>
              <w:rPr>
                <w:rFonts w:ascii="宋体" w:hAnsi="宋体" w:cs="宋体"/>
                <w:color w:val="000000"/>
                <w:sz w:val="18"/>
              </w:rPr>
              <w:t>商品和服务支出</w:t>
            </w:r>
          </w:p>
        </w:tc>
        <w:tc>
          <w:tcPr>
            <w:tcW w:w="1500" w:type="dxa"/>
            <w:noWrap w:val="0"/>
            <w:vAlign w:val="center"/>
          </w:tcPr>
          <w:p>
            <w:pPr>
              <w:jc w:val="right"/>
            </w:pPr>
            <w:r>
              <w:rPr>
                <w:rFonts w:ascii="宋体" w:hAnsi="宋体" w:cs="宋体"/>
                <w:color w:val="000000"/>
                <w:sz w:val="18"/>
              </w:rPr>
              <w:t>113.17</w:t>
            </w:r>
          </w:p>
        </w:tc>
        <w:tc>
          <w:tcPr>
            <w:tcW w:w="620" w:type="dxa"/>
            <w:noWrap w:val="0"/>
            <w:vAlign w:val="center"/>
          </w:tcPr>
          <w:p>
            <w:pPr>
              <w:jc w:val="left"/>
            </w:pPr>
            <w:r>
              <w:rPr>
                <w:rFonts w:ascii="宋体" w:hAnsi="宋体" w:cs="宋体"/>
                <w:color w:val="000000"/>
                <w:sz w:val="18"/>
              </w:rPr>
              <w:t>307</w:t>
            </w:r>
          </w:p>
        </w:tc>
        <w:tc>
          <w:tcPr>
            <w:tcW w:w="3780" w:type="dxa"/>
            <w:noWrap w:val="0"/>
            <w:vAlign w:val="center"/>
          </w:tcPr>
          <w:p>
            <w:pPr>
              <w:jc w:val="left"/>
            </w:pPr>
            <w:r>
              <w:rPr>
                <w:rFonts w:ascii="宋体" w:hAnsi="宋体" w:cs="宋体"/>
                <w:color w:val="000000"/>
                <w:sz w:val="18"/>
              </w:rPr>
              <w:t>债务利息及费用支出</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30101</w:t>
            </w:r>
          </w:p>
        </w:tc>
        <w:tc>
          <w:tcPr>
            <w:tcW w:w="2940" w:type="dxa"/>
            <w:noWrap w:val="0"/>
            <w:vAlign w:val="center"/>
          </w:tcPr>
          <w:p>
            <w:pPr>
              <w:jc w:val="left"/>
            </w:pPr>
            <w:r>
              <w:rPr>
                <w:rFonts w:ascii="宋体" w:hAnsi="宋体" w:cs="宋体"/>
                <w:color w:val="000000"/>
                <w:sz w:val="18"/>
              </w:rPr>
              <w:t xml:space="preserve">  基本工资</w:t>
            </w:r>
          </w:p>
        </w:tc>
        <w:tc>
          <w:tcPr>
            <w:tcW w:w="1500" w:type="dxa"/>
            <w:noWrap w:val="0"/>
            <w:vAlign w:val="center"/>
          </w:tcPr>
          <w:p>
            <w:pPr>
              <w:jc w:val="right"/>
            </w:pPr>
            <w:r>
              <w:rPr>
                <w:rFonts w:ascii="宋体" w:hAnsi="宋体" w:cs="宋体"/>
                <w:color w:val="000000"/>
                <w:sz w:val="18"/>
              </w:rPr>
              <w:t>429.34</w:t>
            </w:r>
          </w:p>
        </w:tc>
        <w:tc>
          <w:tcPr>
            <w:tcW w:w="620" w:type="dxa"/>
            <w:noWrap w:val="0"/>
            <w:vAlign w:val="center"/>
          </w:tcPr>
          <w:p>
            <w:pPr>
              <w:jc w:val="left"/>
            </w:pPr>
            <w:r>
              <w:rPr>
                <w:rFonts w:ascii="宋体" w:hAnsi="宋体" w:cs="宋体"/>
                <w:color w:val="000000"/>
                <w:sz w:val="18"/>
              </w:rPr>
              <w:t>30201</w:t>
            </w:r>
          </w:p>
        </w:tc>
        <w:tc>
          <w:tcPr>
            <w:tcW w:w="2320" w:type="dxa"/>
            <w:noWrap w:val="0"/>
            <w:vAlign w:val="center"/>
          </w:tcPr>
          <w:p>
            <w:pPr>
              <w:jc w:val="left"/>
            </w:pPr>
            <w:r>
              <w:rPr>
                <w:rFonts w:ascii="宋体" w:hAnsi="宋体" w:cs="宋体"/>
                <w:color w:val="000000"/>
                <w:sz w:val="18"/>
              </w:rPr>
              <w:t xml:space="preserve">  办公费</w:t>
            </w:r>
          </w:p>
        </w:tc>
        <w:tc>
          <w:tcPr>
            <w:tcW w:w="1500" w:type="dxa"/>
            <w:noWrap w:val="0"/>
            <w:vAlign w:val="center"/>
          </w:tcPr>
          <w:p>
            <w:pPr>
              <w:jc w:val="right"/>
            </w:pPr>
            <w:r>
              <w:rPr>
                <w:rFonts w:ascii="宋体" w:hAnsi="宋体" w:cs="宋体"/>
                <w:color w:val="000000"/>
                <w:sz w:val="18"/>
              </w:rPr>
              <w:t>20.00</w:t>
            </w:r>
          </w:p>
        </w:tc>
        <w:tc>
          <w:tcPr>
            <w:tcW w:w="620" w:type="dxa"/>
            <w:noWrap w:val="0"/>
            <w:vAlign w:val="center"/>
          </w:tcPr>
          <w:p>
            <w:pPr>
              <w:jc w:val="left"/>
            </w:pPr>
            <w:r>
              <w:rPr>
                <w:rFonts w:ascii="宋体" w:hAnsi="宋体" w:cs="宋体"/>
                <w:color w:val="000000"/>
                <w:sz w:val="18"/>
              </w:rPr>
              <w:t>30701</w:t>
            </w:r>
          </w:p>
        </w:tc>
        <w:tc>
          <w:tcPr>
            <w:tcW w:w="3780" w:type="dxa"/>
            <w:noWrap w:val="0"/>
            <w:vAlign w:val="center"/>
          </w:tcPr>
          <w:p>
            <w:pPr>
              <w:jc w:val="left"/>
            </w:pPr>
            <w:r>
              <w:rPr>
                <w:rFonts w:ascii="宋体" w:hAnsi="宋体" w:cs="宋体"/>
                <w:color w:val="000000"/>
                <w:sz w:val="18"/>
              </w:rPr>
              <w:t xml:space="preserve">  国内债务付息</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30102</w:t>
            </w:r>
          </w:p>
        </w:tc>
        <w:tc>
          <w:tcPr>
            <w:tcW w:w="2940" w:type="dxa"/>
            <w:noWrap w:val="0"/>
            <w:vAlign w:val="center"/>
          </w:tcPr>
          <w:p>
            <w:pPr>
              <w:jc w:val="left"/>
            </w:pPr>
            <w:r>
              <w:rPr>
                <w:rFonts w:ascii="宋体" w:hAnsi="宋体" w:cs="宋体"/>
                <w:color w:val="000000"/>
                <w:sz w:val="18"/>
              </w:rPr>
              <w:t xml:space="preserve">  津贴补贴</w:t>
            </w:r>
          </w:p>
        </w:tc>
        <w:tc>
          <w:tcPr>
            <w:tcW w:w="1500" w:type="dxa"/>
            <w:noWrap w:val="0"/>
            <w:vAlign w:val="center"/>
          </w:tcPr>
          <w:p>
            <w:pPr>
              <w:jc w:val="right"/>
            </w:pPr>
            <w:r>
              <w:rPr>
                <w:rFonts w:ascii="宋体" w:hAnsi="宋体" w:cs="宋体"/>
                <w:color w:val="000000"/>
                <w:sz w:val="18"/>
              </w:rPr>
              <w:t>32.94</w:t>
            </w:r>
          </w:p>
        </w:tc>
        <w:tc>
          <w:tcPr>
            <w:tcW w:w="620" w:type="dxa"/>
            <w:noWrap w:val="0"/>
            <w:vAlign w:val="center"/>
          </w:tcPr>
          <w:p>
            <w:pPr>
              <w:jc w:val="left"/>
            </w:pPr>
            <w:r>
              <w:rPr>
                <w:rFonts w:ascii="宋体" w:hAnsi="宋体" w:cs="宋体"/>
                <w:color w:val="000000"/>
                <w:sz w:val="18"/>
              </w:rPr>
              <w:t>30202</w:t>
            </w:r>
          </w:p>
        </w:tc>
        <w:tc>
          <w:tcPr>
            <w:tcW w:w="2320" w:type="dxa"/>
            <w:noWrap w:val="0"/>
            <w:vAlign w:val="center"/>
          </w:tcPr>
          <w:p>
            <w:pPr>
              <w:jc w:val="left"/>
            </w:pPr>
            <w:r>
              <w:rPr>
                <w:rFonts w:ascii="宋体" w:hAnsi="宋体" w:cs="宋体"/>
                <w:color w:val="000000"/>
                <w:sz w:val="18"/>
              </w:rPr>
              <w:t xml:space="preserve">  印刷费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30702</w:t>
            </w:r>
          </w:p>
        </w:tc>
        <w:tc>
          <w:tcPr>
            <w:tcW w:w="3780" w:type="dxa"/>
            <w:noWrap w:val="0"/>
            <w:vAlign w:val="center"/>
          </w:tcPr>
          <w:p>
            <w:pPr>
              <w:jc w:val="left"/>
            </w:pPr>
            <w:r>
              <w:rPr>
                <w:rFonts w:ascii="宋体" w:hAnsi="宋体" w:cs="宋体"/>
                <w:color w:val="000000"/>
                <w:sz w:val="18"/>
              </w:rPr>
              <w:t xml:space="preserve">  国外债务付息</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30103</w:t>
            </w:r>
          </w:p>
        </w:tc>
        <w:tc>
          <w:tcPr>
            <w:tcW w:w="2940" w:type="dxa"/>
            <w:noWrap w:val="0"/>
            <w:vAlign w:val="center"/>
          </w:tcPr>
          <w:p>
            <w:pPr>
              <w:jc w:val="left"/>
            </w:pPr>
            <w:r>
              <w:rPr>
                <w:rFonts w:ascii="宋体" w:hAnsi="宋体" w:cs="宋体"/>
                <w:color w:val="000000"/>
                <w:sz w:val="18"/>
              </w:rPr>
              <w:t xml:space="preserve">  奖金</w:t>
            </w:r>
          </w:p>
        </w:tc>
        <w:tc>
          <w:tcPr>
            <w:tcW w:w="1500" w:type="dxa"/>
            <w:noWrap w:val="0"/>
            <w:vAlign w:val="center"/>
          </w:tcPr>
          <w:p>
            <w:pPr>
              <w:jc w:val="right"/>
            </w:pPr>
            <w:r>
              <w:rPr>
                <w:rFonts w:ascii="宋体" w:hAnsi="宋体" w:cs="宋体"/>
                <w:color w:val="000000"/>
                <w:sz w:val="18"/>
              </w:rPr>
              <w:t>162.86</w:t>
            </w:r>
          </w:p>
        </w:tc>
        <w:tc>
          <w:tcPr>
            <w:tcW w:w="620" w:type="dxa"/>
            <w:noWrap w:val="0"/>
            <w:vAlign w:val="center"/>
          </w:tcPr>
          <w:p>
            <w:pPr>
              <w:jc w:val="left"/>
            </w:pPr>
            <w:r>
              <w:rPr>
                <w:rFonts w:ascii="宋体" w:hAnsi="宋体" w:cs="宋体"/>
                <w:color w:val="000000"/>
                <w:sz w:val="18"/>
              </w:rPr>
              <w:t>30203</w:t>
            </w:r>
          </w:p>
        </w:tc>
        <w:tc>
          <w:tcPr>
            <w:tcW w:w="2320" w:type="dxa"/>
            <w:noWrap w:val="0"/>
            <w:vAlign w:val="center"/>
          </w:tcPr>
          <w:p>
            <w:pPr>
              <w:jc w:val="left"/>
            </w:pPr>
            <w:r>
              <w:rPr>
                <w:rFonts w:ascii="宋体" w:hAnsi="宋体" w:cs="宋体"/>
                <w:color w:val="000000"/>
                <w:sz w:val="18"/>
              </w:rPr>
              <w:t xml:space="preserve">  咨询费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w:t>
            </w:r>
          </w:p>
        </w:tc>
        <w:tc>
          <w:tcPr>
            <w:tcW w:w="3780" w:type="dxa"/>
            <w:noWrap w:val="0"/>
            <w:vAlign w:val="center"/>
          </w:tcPr>
          <w:p>
            <w:pPr>
              <w:jc w:val="left"/>
            </w:pPr>
            <w:r>
              <w:rPr>
                <w:rFonts w:ascii="宋体" w:hAnsi="宋体" w:cs="宋体"/>
                <w:color w:val="000000"/>
                <w:sz w:val="18"/>
              </w:rPr>
              <w:t>资本性支出</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30106</w:t>
            </w:r>
          </w:p>
        </w:tc>
        <w:tc>
          <w:tcPr>
            <w:tcW w:w="2940" w:type="dxa"/>
            <w:noWrap w:val="0"/>
            <w:vAlign w:val="center"/>
          </w:tcPr>
          <w:p>
            <w:pPr>
              <w:jc w:val="left"/>
            </w:pPr>
            <w:r>
              <w:rPr>
                <w:rFonts w:ascii="宋体" w:hAnsi="宋体" w:cs="宋体"/>
                <w:color w:val="000000"/>
                <w:sz w:val="18"/>
              </w:rPr>
              <w:t xml:space="preserve">  伙食补助费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30204</w:t>
            </w:r>
          </w:p>
        </w:tc>
        <w:tc>
          <w:tcPr>
            <w:tcW w:w="2320" w:type="dxa"/>
            <w:noWrap w:val="0"/>
            <w:vAlign w:val="center"/>
          </w:tcPr>
          <w:p>
            <w:pPr>
              <w:jc w:val="left"/>
            </w:pPr>
            <w:r>
              <w:rPr>
                <w:rFonts w:ascii="宋体" w:hAnsi="宋体" w:cs="宋体"/>
                <w:color w:val="000000"/>
                <w:sz w:val="18"/>
              </w:rPr>
              <w:t xml:space="preserve">  手续费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31001</w:t>
            </w:r>
          </w:p>
        </w:tc>
        <w:tc>
          <w:tcPr>
            <w:tcW w:w="3780" w:type="dxa"/>
            <w:noWrap w:val="0"/>
            <w:vAlign w:val="center"/>
          </w:tcPr>
          <w:p>
            <w:pPr>
              <w:jc w:val="left"/>
            </w:pPr>
            <w:r>
              <w:rPr>
                <w:rFonts w:ascii="宋体" w:hAnsi="宋体" w:cs="宋体"/>
                <w:color w:val="000000"/>
                <w:sz w:val="18"/>
              </w:rPr>
              <w:t xml:space="preserve">  房屋建筑物购建</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30107</w:t>
            </w:r>
          </w:p>
        </w:tc>
        <w:tc>
          <w:tcPr>
            <w:tcW w:w="2940" w:type="dxa"/>
            <w:noWrap w:val="0"/>
            <w:vAlign w:val="center"/>
          </w:tcPr>
          <w:p>
            <w:pPr>
              <w:jc w:val="left"/>
            </w:pPr>
            <w:r>
              <w:rPr>
                <w:rFonts w:ascii="宋体" w:hAnsi="宋体" w:cs="宋体"/>
                <w:color w:val="000000"/>
                <w:sz w:val="18"/>
              </w:rPr>
              <w:t xml:space="preserve">  绩效工资</w:t>
            </w:r>
          </w:p>
        </w:tc>
        <w:tc>
          <w:tcPr>
            <w:tcW w:w="1500" w:type="dxa"/>
            <w:noWrap w:val="0"/>
            <w:vAlign w:val="center"/>
          </w:tcPr>
          <w:p>
            <w:pPr>
              <w:jc w:val="right"/>
            </w:pPr>
            <w:r>
              <w:rPr>
                <w:rFonts w:ascii="宋体" w:hAnsi="宋体" w:cs="宋体"/>
                <w:color w:val="000000"/>
                <w:sz w:val="18"/>
              </w:rPr>
              <w:t>319.03</w:t>
            </w:r>
          </w:p>
        </w:tc>
        <w:tc>
          <w:tcPr>
            <w:tcW w:w="620" w:type="dxa"/>
            <w:noWrap w:val="0"/>
            <w:vAlign w:val="center"/>
          </w:tcPr>
          <w:p>
            <w:pPr>
              <w:jc w:val="left"/>
            </w:pPr>
            <w:r>
              <w:rPr>
                <w:rFonts w:ascii="宋体" w:hAnsi="宋体" w:cs="宋体"/>
                <w:color w:val="000000"/>
                <w:sz w:val="18"/>
              </w:rPr>
              <w:t>30205</w:t>
            </w:r>
          </w:p>
        </w:tc>
        <w:tc>
          <w:tcPr>
            <w:tcW w:w="2320" w:type="dxa"/>
            <w:noWrap w:val="0"/>
            <w:vAlign w:val="center"/>
          </w:tcPr>
          <w:p>
            <w:pPr>
              <w:jc w:val="left"/>
            </w:pPr>
            <w:r>
              <w:rPr>
                <w:rFonts w:ascii="宋体" w:hAnsi="宋体" w:cs="宋体"/>
                <w:color w:val="000000"/>
                <w:sz w:val="18"/>
              </w:rPr>
              <w:t xml:space="preserve">  水费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31002</w:t>
            </w:r>
          </w:p>
        </w:tc>
        <w:tc>
          <w:tcPr>
            <w:tcW w:w="3780" w:type="dxa"/>
            <w:noWrap w:val="0"/>
            <w:vAlign w:val="center"/>
          </w:tcPr>
          <w:p>
            <w:pPr>
              <w:jc w:val="left"/>
            </w:pPr>
            <w:r>
              <w:rPr>
                <w:rFonts w:ascii="宋体" w:hAnsi="宋体" w:cs="宋体"/>
                <w:color w:val="000000"/>
                <w:sz w:val="18"/>
              </w:rPr>
              <w:t xml:space="preserve">  办公设备购置</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30108</w:t>
            </w:r>
          </w:p>
        </w:tc>
        <w:tc>
          <w:tcPr>
            <w:tcW w:w="2940" w:type="dxa"/>
            <w:noWrap w:val="0"/>
            <w:vAlign w:val="center"/>
          </w:tcPr>
          <w:p>
            <w:pPr>
              <w:jc w:val="left"/>
            </w:pPr>
            <w:r>
              <w:rPr>
                <w:rFonts w:ascii="宋体" w:hAnsi="宋体" w:cs="宋体"/>
                <w:color w:val="000000"/>
                <w:sz w:val="18"/>
              </w:rPr>
              <w:t xml:space="preserve">  机关事业单位基本养老保险缴费</w:t>
            </w:r>
          </w:p>
        </w:tc>
        <w:tc>
          <w:tcPr>
            <w:tcW w:w="1500" w:type="dxa"/>
            <w:noWrap w:val="0"/>
            <w:vAlign w:val="center"/>
          </w:tcPr>
          <w:p>
            <w:pPr>
              <w:jc w:val="right"/>
            </w:pPr>
            <w:r>
              <w:rPr>
                <w:rFonts w:ascii="宋体" w:hAnsi="宋体" w:cs="宋体"/>
                <w:color w:val="000000"/>
                <w:sz w:val="18"/>
              </w:rPr>
              <w:t>195.43</w:t>
            </w:r>
          </w:p>
        </w:tc>
        <w:tc>
          <w:tcPr>
            <w:tcW w:w="620" w:type="dxa"/>
            <w:noWrap w:val="0"/>
            <w:vAlign w:val="center"/>
          </w:tcPr>
          <w:p>
            <w:pPr>
              <w:jc w:val="left"/>
            </w:pPr>
            <w:r>
              <w:rPr>
                <w:rFonts w:ascii="宋体" w:hAnsi="宋体" w:cs="宋体"/>
                <w:color w:val="000000"/>
                <w:sz w:val="18"/>
              </w:rPr>
              <w:t>30206</w:t>
            </w:r>
          </w:p>
        </w:tc>
        <w:tc>
          <w:tcPr>
            <w:tcW w:w="2320" w:type="dxa"/>
            <w:noWrap w:val="0"/>
            <w:vAlign w:val="center"/>
          </w:tcPr>
          <w:p>
            <w:pPr>
              <w:jc w:val="left"/>
            </w:pPr>
            <w:r>
              <w:rPr>
                <w:rFonts w:ascii="宋体" w:hAnsi="宋体" w:cs="宋体"/>
                <w:color w:val="000000"/>
                <w:sz w:val="18"/>
              </w:rPr>
              <w:t xml:space="preserve">  电费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31003</w:t>
            </w:r>
          </w:p>
        </w:tc>
        <w:tc>
          <w:tcPr>
            <w:tcW w:w="3780" w:type="dxa"/>
            <w:noWrap w:val="0"/>
            <w:vAlign w:val="center"/>
          </w:tcPr>
          <w:p>
            <w:pPr>
              <w:jc w:val="left"/>
            </w:pPr>
            <w:r>
              <w:rPr>
                <w:rFonts w:ascii="宋体" w:hAnsi="宋体" w:cs="宋体"/>
                <w:color w:val="000000"/>
                <w:sz w:val="18"/>
              </w:rPr>
              <w:t xml:space="preserve">  专用设备购置</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30109</w:t>
            </w:r>
          </w:p>
        </w:tc>
        <w:tc>
          <w:tcPr>
            <w:tcW w:w="2940" w:type="dxa"/>
            <w:noWrap w:val="0"/>
            <w:vAlign w:val="center"/>
          </w:tcPr>
          <w:p>
            <w:pPr>
              <w:jc w:val="left"/>
            </w:pPr>
            <w:r>
              <w:rPr>
                <w:rFonts w:ascii="宋体" w:hAnsi="宋体" w:cs="宋体"/>
                <w:color w:val="000000"/>
                <w:sz w:val="18"/>
              </w:rPr>
              <w:t xml:space="preserve">  职业年金缴费</w:t>
            </w:r>
          </w:p>
        </w:tc>
        <w:tc>
          <w:tcPr>
            <w:tcW w:w="1500" w:type="dxa"/>
            <w:noWrap w:val="0"/>
            <w:vAlign w:val="center"/>
          </w:tcPr>
          <w:p>
            <w:pPr>
              <w:jc w:val="right"/>
            </w:pPr>
            <w:r>
              <w:rPr>
                <w:rFonts w:ascii="宋体" w:hAnsi="宋体" w:cs="宋体"/>
                <w:color w:val="000000"/>
                <w:sz w:val="18"/>
              </w:rPr>
              <w:t>96.00</w:t>
            </w:r>
          </w:p>
        </w:tc>
        <w:tc>
          <w:tcPr>
            <w:tcW w:w="620" w:type="dxa"/>
            <w:noWrap w:val="0"/>
            <w:vAlign w:val="center"/>
          </w:tcPr>
          <w:p>
            <w:pPr>
              <w:jc w:val="left"/>
            </w:pPr>
            <w:r>
              <w:rPr>
                <w:rFonts w:ascii="宋体" w:hAnsi="宋体" w:cs="宋体"/>
                <w:color w:val="000000"/>
                <w:sz w:val="18"/>
              </w:rPr>
              <w:t>30207</w:t>
            </w:r>
          </w:p>
        </w:tc>
        <w:tc>
          <w:tcPr>
            <w:tcW w:w="2320" w:type="dxa"/>
            <w:noWrap w:val="0"/>
            <w:vAlign w:val="center"/>
          </w:tcPr>
          <w:p>
            <w:pPr>
              <w:jc w:val="left"/>
            </w:pPr>
            <w:r>
              <w:rPr>
                <w:rFonts w:ascii="宋体" w:hAnsi="宋体" w:cs="宋体"/>
                <w:color w:val="000000"/>
                <w:sz w:val="18"/>
              </w:rPr>
              <w:t xml:space="preserve">  邮电费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31005</w:t>
            </w:r>
          </w:p>
        </w:tc>
        <w:tc>
          <w:tcPr>
            <w:tcW w:w="3780" w:type="dxa"/>
            <w:noWrap w:val="0"/>
            <w:vAlign w:val="center"/>
          </w:tcPr>
          <w:p>
            <w:pPr>
              <w:jc w:val="left"/>
            </w:pPr>
            <w:r>
              <w:rPr>
                <w:rFonts w:ascii="宋体" w:hAnsi="宋体" w:cs="宋体"/>
                <w:color w:val="000000"/>
                <w:sz w:val="18"/>
              </w:rPr>
              <w:t xml:space="preserve">  基础设施建设</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30110</w:t>
            </w:r>
          </w:p>
        </w:tc>
        <w:tc>
          <w:tcPr>
            <w:tcW w:w="2940" w:type="dxa"/>
            <w:noWrap w:val="0"/>
            <w:vAlign w:val="center"/>
          </w:tcPr>
          <w:p>
            <w:pPr>
              <w:jc w:val="left"/>
            </w:pPr>
            <w:r>
              <w:rPr>
                <w:rFonts w:ascii="宋体" w:hAnsi="宋体" w:cs="宋体"/>
                <w:color w:val="000000"/>
                <w:sz w:val="18"/>
              </w:rPr>
              <w:t xml:space="preserve">  职工基本医疗保险缴费</w:t>
            </w:r>
          </w:p>
        </w:tc>
        <w:tc>
          <w:tcPr>
            <w:tcW w:w="1500" w:type="dxa"/>
            <w:noWrap w:val="0"/>
            <w:vAlign w:val="center"/>
          </w:tcPr>
          <w:p>
            <w:pPr>
              <w:jc w:val="right"/>
            </w:pPr>
            <w:r>
              <w:rPr>
                <w:rFonts w:ascii="宋体" w:hAnsi="宋体" w:cs="宋体"/>
                <w:color w:val="000000"/>
                <w:sz w:val="18"/>
              </w:rPr>
              <w:t>89.21</w:t>
            </w:r>
          </w:p>
        </w:tc>
        <w:tc>
          <w:tcPr>
            <w:tcW w:w="620" w:type="dxa"/>
            <w:noWrap w:val="0"/>
            <w:vAlign w:val="center"/>
          </w:tcPr>
          <w:p>
            <w:pPr>
              <w:jc w:val="left"/>
            </w:pPr>
            <w:r>
              <w:rPr>
                <w:rFonts w:ascii="宋体" w:hAnsi="宋体" w:cs="宋体"/>
                <w:color w:val="000000"/>
                <w:sz w:val="18"/>
              </w:rPr>
              <w:t>30208</w:t>
            </w:r>
          </w:p>
        </w:tc>
        <w:tc>
          <w:tcPr>
            <w:tcW w:w="2320" w:type="dxa"/>
            <w:noWrap w:val="0"/>
            <w:vAlign w:val="center"/>
          </w:tcPr>
          <w:p>
            <w:pPr>
              <w:jc w:val="left"/>
            </w:pPr>
            <w:r>
              <w:rPr>
                <w:rFonts w:ascii="宋体" w:hAnsi="宋体" w:cs="宋体"/>
                <w:color w:val="000000"/>
                <w:sz w:val="18"/>
              </w:rPr>
              <w:t xml:space="preserve">  取暖费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31006</w:t>
            </w:r>
          </w:p>
        </w:tc>
        <w:tc>
          <w:tcPr>
            <w:tcW w:w="3780" w:type="dxa"/>
            <w:noWrap w:val="0"/>
            <w:vAlign w:val="center"/>
          </w:tcPr>
          <w:p>
            <w:pPr>
              <w:jc w:val="left"/>
            </w:pPr>
            <w:r>
              <w:rPr>
                <w:rFonts w:ascii="宋体" w:hAnsi="宋体" w:cs="宋体"/>
                <w:color w:val="000000"/>
                <w:sz w:val="18"/>
              </w:rPr>
              <w:t xml:space="preserve">  大型修缮</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30111</w:t>
            </w:r>
          </w:p>
        </w:tc>
        <w:tc>
          <w:tcPr>
            <w:tcW w:w="2940" w:type="dxa"/>
            <w:noWrap w:val="0"/>
            <w:vAlign w:val="center"/>
          </w:tcPr>
          <w:p>
            <w:pPr>
              <w:jc w:val="left"/>
            </w:pPr>
            <w:r>
              <w:rPr>
                <w:rFonts w:ascii="宋体" w:hAnsi="宋体" w:cs="宋体"/>
                <w:color w:val="000000"/>
                <w:sz w:val="18"/>
              </w:rPr>
              <w:t xml:space="preserve">  公务员医疗补助缴费</w:t>
            </w:r>
          </w:p>
        </w:tc>
        <w:tc>
          <w:tcPr>
            <w:tcW w:w="1500" w:type="dxa"/>
            <w:noWrap w:val="0"/>
            <w:vAlign w:val="center"/>
          </w:tcPr>
          <w:p>
            <w:pPr>
              <w:jc w:val="right"/>
            </w:pPr>
            <w:r>
              <w:rPr>
                <w:rFonts w:ascii="宋体" w:hAnsi="宋体" w:cs="宋体"/>
                <w:color w:val="000000"/>
                <w:sz w:val="18"/>
              </w:rPr>
              <w:t>61.70</w:t>
            </w:r>
          </w:p>
        </w:tc>
        <w:tc>
          <w:tcPr>
            <w:tcW w:w="620" w:type="dxa"/>
            <w:noWrap w:val="0"/>
            <w:vAlign w:val="center"/>
          </w:tcPr>
          <w:p>
            <w:pPr>
              <w:jc w:val="left"/>
            </w:pPr>
            <w:r>
              <w:rPr>
                <w:rFonts w:ascii="宋体" w:hAnsi="宋体" w:cs="宋体"/>
                <w:color w:val="000000"/>
                <w:sz w:val="18"/>
              </w:rPr>
              <w:t>30209</w:t>
            </w:r>
          </w:p>
        </w:tc>
        <w:tc>
          <w:tcPr>
            <w:tcW w:w="2320" w:type="dxa"/>
            <w:noWrap w:val="0"/>
            <w:vAlign w:val="center"/>
          </w:tcPr>
          <w:p>
            <w:pPr>
              <w:jc w:val="left"/>
            </w:pPr>
            <w:r>
              <w:rPr>
                <w:rFonts w:ascii="宋体" w:hAnsi="宋体" w:cs="宋体"/>
                <w:color w:val="000000"/>
                <w:sz w:val="18"/>
              </w:rPr>
              <w:t xml:space="preserve">  物业管理费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31007</w:t>
            </w:r>
          </w:p>
        </w:tc>
        <w:tc>
          <w:tcPr>
            <w:tcW w:w="3780" w:type="dxa"/>
            <w:noWrap w:val="0"/>
            <w:vAlign w:val="center"/>
          </w:tcPr>
          <w:p>
            <w:pPr>
              <w:jc w:val="left"/>
            </w:pPr>
            <w:r>
              <w:rPr>
                <w:rFonts w:ascii="宋体" w:hAnsi="宋体" w:cs="宋体"/>
                <w:color w:val="000000"/>
                <w:sz w:val="18"/>
              </w:rPr>
              <w:t xml:space="preserve">  信息网络及软件购置更新</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30112</w:t>
            </w:r>
          </w:p>
        </w:tc>
        <w:tc>
          <w:tcPr>
            <w:tcW w:w="2940" w:type="dxa"/>
            <w:noWrap w:val="0"/>
            <w:vAlign w:val="center"/>
          </w:tcPr>
          <w:p>
            <w:pPr>
              <w:jc w:val="left"/>
            </w:pPr>
            <w:r>
              <w:rPr>
                <w:rFonts w:ascii="宋体" w:hAnsi="宋体" w:cs="宋体"/>
                <w:color w:val="000000"/>
                <w:sz w:val="18"/>
              </w:rPr>
              <w:t xml:space="preserve">  其他社会保障缴费</w:t>
            </w:r>
          </w:p>
        </w:tc>
        <w:tc>
          <w:tcPr>
            <w:tcW w:w="1500" w:type="dxa"/>
            <w:noWrap w:val="0"/>
            <w:vAlign w:val="center"/>
          </w:tcPr>
          <w:p>
            <w:pPr>
              <w:jc w:val="right"/>
            </w:pPr>
            <w:r>
              <w:rPr>
                <w:rFonts w:ascii="宋体" w:hAnsi="宋体" w:cs="宋体"/>
                <w:color w:val="000000"/>
                <w:sz w:val="18"/>
              </w:rPr>
              <w:t>11.86</w:t>
            </w:r>
          </w:p>
        </w:tc>
        <w:tc>
          <w:tcPr>
            <w:tcW w:w="620" w:type="dxa"/>
            <w:noWrap w:val="0"/>
            <w:vAlign w:val="center"/>
          </w:tcPr>
          <w:p>
            <w:pPr>
              <w:jc w:val="left"/>
            </w:pPr>
            <w:r>
              <w:rPr>
                <w:rFonts w:ascii="宋体" w:hAnsi="宋体" w:cs="宋体"/>
                <w:color w:val="000000"/>
                <w:sz w:val="18"/>
              </w:rPr>
              <w:t>30211</w:t>
            </w:r>
          </w:p>
        </w:tc>
        <w:tc>
          <w:tcPr>
            <w:tcW w:w="2320" w:type="dxa"/>
            <w:noWrap w:val="0"/>
            <w:vAlign w:val="center"/>
          </w:tcPr>
          <w:p>
            <w:pPr>
              <w:jc w:val="left"/>
            </w:pPr>
            <w:r>
              <w:rPr>
                <w:rFonts w:ascii="宋体" w:hAnsi="宋体" w:cs="宋体"/>
                <w:color w:val="000000"/>
                <w:sz w:val="18"/>
              </w:rPr>
              <w:t xml:space="preserve">  差旅费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31008</w:t>
            </w:r>
          </w:p>
        </w:tc>
        <w:tc>
          <w:tcPr>
            <w:tcW w:w="3780" w:type="dxa"/>
            <w:noWrap w:val="0"/>
            <w:vAlign w:val="center"/>
          </w:tcPr>
          <w:p>
            <w:pPr>
              <w:jc w:val="left"/>
            </w:pPr>
            <w:r>
              <w:rPr>
                <w:rFonts w:ascii="宋体" w:hAnsi="宋体" w:cs="宋体"/>
                <w:color w:val="000000"/>
                <w:sz w:val="18"/>
              </w:rPr>
              <w:t xml:space="preserve">  物资储备</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30113</w:t>
            </w:r>
          </w:p>
        </w:tc>
        <w:tc>
          <w:tcPr>
            <w:tcW w:w="2940" w:type="dxa"/>
            <w:noWrap w:val="0"/>
            <w:vAlign w:val="center"/>
          </w:tcPr>
          <w:p>
            <w:pPr>
              <w:jc w:val="left"/>
            </w:pPr>
            <w:r>
              <w:rPr>
                <w:rFonts w:ascii="宋体" w:hAnsi="宋体" w:cs="宋体"/>
                <w:color w:val="000000"/>
                <w:sz w:val="18"/>
              </w:rPr>
              <w:t xml:space="preserve">  住房公积金</w:t>
            </w:r>
          </w:p>
        </w:tc>
        <w:tc>
          <w:tcPr>
            <w:tcW w:w="1500" w:type="dxa"/>
            <w:noWrap w:val="0"/>
            <w:vAlign w:val="center"/>
          </w:tcPr>
          <w:p>
            <w:pPr>
              <w:jc w:val="right"/>
            </w:pPr>
            <w:r>
              <w:rPr>
                <w:rFonts w:ascii="宋体" w:hAnsi="宋体" w:cs="宋体"/>
                <w:color w:val="000000"/>
                <w:sz w:val="18"/>
              </w:rPr>
              <w:t>206.10</w:t>
            </w:r>
          </w:p>
        </w:tc>
        <w:tc>
          <w:tcPr>
            <w:tcW w:w="620" w:type="dxa"/>
            <w:noWrap w:val="0"/>
            <w:vAlign w:val="center"/>
          </w:tcPr>
          <w:p>
            <w:pPr>
              <w:jc w:val="left"/>
            </w:pPr>
            <w:r>
              <w:rPr>
                <w:rFonts w:ascii="宋体" w:hAnsi="宋体" w:cs="宋体"/>
                <w:color w:val="000000"/>
                <w:sz w:val="18"/>
              </w:rPr>
              <w:t>30212</w:t>
            </w:r>
          </w:p>
        </w:tc>
        <w:tc>
          <w:tcPr>
            <w:tcW w:w="2320" w:type="dxa"/>
            <w:noWrap w:val="0"/>
            <w:vAlign w:val="center"/>
          </w:tcPr>
          <w:p>
            <w:pPr>
              <w:jc w:val="left"/>
            </w:pPr>
            <w:r>
              <w:rPr>
                <w:rFonts w:ascii="宋体" w:hAnsi="宋体" w:cs="宋体"/>
                <w:color w:val="000000"/>
                <w:sz w:val="18"/>
              </w:rPr>
              <w:t xml:space="preserve">  因公出国（境）费用</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31009</w:t>
            </w:r>
          </w:p>
        </w:tc>
        <w:tc>
          <w:tcPr>
            <w:tcW w:w="3780" w:type="dxa"/>
            <w:noWrap w:val="0"/>
            <w:vAlign w:val="center"/>
          </w:tcPr>
          <w:p>
            <w:pPr>
              <w:jc w:val="left"/>
            </w:pPr>
            <w:r>
              <w:rPr>
                <w:rFonts w:ascii="宋体" w:hAnsi="宋体" w:cs="宋体"/>
                <w:color w:val="000000"/>
                <w:sz w:val="18"/>
              </w:rPr>
              <w:t xml:space="preserve">  土地补偿</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30114</w:t>
            </w:r>
          </w:p>
        </w:tc>
        <w:tc>
          <w:tcPr>
            <w:tcW w:w="2940" w:type="dxa"/>
            <w:noWrap w:val="0"/>
            <w:vAlign w:val="center"/>
          </w:tcPr>
          <w:p>
            <w:pPr>
              <w:jc w:val="left"/>
            </w:pPr>
            <w:r>
              <w:rPr>
                <w:rFonts w:ascii="宋体" w:hAnsi="宋体" w:cs="宋体"/>
                <w:color w:val="000000"/>
                <w:sz w:val="18"/>
              </w:rPr>
              <w:t xml:space="preserve">  医疗费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30213</w:t>
            </w:r>
          </w:p>
        </w:tc>
        <w:tc>
          <w:tcPr>
            <w:tcW w:w="2320" w:type="dxa"/>
            <w:noWrap w:val="0"/>
            <w:vAlign w:val="center"/>
          </w:tcPr>
          <w:p>
            <w:pPr>
              <w:jc w:val="left"/>
            </w:pPr>
            <w:r>
              <w:rPr>
                <w:rFonts w:ascii="宋体" w:hAnsi="宋体" w:cs="宋体"/>
                <w:color w:val="000000"/>
                <w:sz w:val="18"/>
              </w:rPr>
              <w:t xml:space="preserve">  维修（护）费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31010</w:t>
            </w:r>
          </w:p>
        </w:tc>
        <w:tc>
          <w:tcPr>
            <w:tcW w:w="3780" w:type="dxa"/>
            <w:noWrap w:val="0"/>
            <w:vAlign w:val="center"/>
          </w:tcPr>
          <w:p>
            <w:pPr>
              <w:jc w:val="left"/>
            </w:pPr>
            <w:r>
              <w:rPr>
                <w:rFonts w:ascii="宋体" w:hAnsi="宋体" w:cs="宋体"/>
                <w:color w:val="000000"/>
                <w:sz w:val="18"/>
              </w:rPr>
              <w:t xml:space="preserve">  安置补助</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30199</w:t>
            </w:r>
          </w:p>
        </w:tc>
        <w:tc>
          <w:tcPr>
            <w:tcW w:w="2940" w:type="dxa"/>
            <w:noWrap w:val="0"/>
            <w:vAlign w:val="center"/>
          </w:tcPr>
          <w:p>
            <w:pPr>
              <w:jc w:val="left"/>
            </w:pPr>
            <w:r>
              <w:rPr>
                <w:rFonts w:ascii="宋体" w:hAnsi="宋体" w:cs="宋体"/>
                <w:color w:val="000000"/>
                <w:sz w:val="18"/>
              </w:rPr>
              <w:t xml:space="preserve">  其他工资福利支出</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30214</w:t>
            </w:r>
          </w:p>
        </w:tc>
        <w:tc>
          <w:tcPr>
            <w:tcW w:w="2320" w:type="dxa"/>
            <w:noWrap w:val="0"/>
            <w:vAlign w:val="center"/>
          </w:tcPr>
          <w:p>
            <w:pPr>
              <w:jc w:val="left"/>
            </w:pPr>
            <w:r>
              <w:rPr>
                <w:rFonts w:ascii="宋体" w:hAnsi="宋体" w:cs="宋体"/>
                <w:color w:val="000000"/>
                <w:sz w:val="18"/>
              </w:rPr>
              <w:t xml:space="preserve">  租赁费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31011</w:t>
            </w:r>
          </w:p>
        </w:tc>
        <w:tc>
          <w:tcPr>
            <w:tcW w:w="3780" w:type="dxa"/>
            <w:noWrap w:val="0"/>
            <w:vAlign w:val="center"/>
          </w:tcPr>
          <w:p>
            <w:pPr>
              <w:jc w:val="left"/>
            </w:pPr>
            <w:r>
              <w:rPr>
                <w:rFonts w:ascii="宋体" w:hAnsi="宋体" w:cs="宋体"/>
                <w:color w:val="000000"/>
                <w:sz w:val="18"/>
              </w:rPr>
              <w:t xml:space="preserve">  地上附着物和青苗补偿</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w:t>
            </w:r>
          </w:p>
        </w:tc>
        <w:tc>
          <w:tcPr>
            <w:tcW w:w="2940" w:type="dxa"/>
            <w:noWrap w:val="0"/>
            <w:vAlign w:val="center"/>
          </w:tcPr>
          <w:p>
            <w:pPr>
              <w:jc w:val="left"/>
            </w:pPr>
            <w:r>
              <w:rPr>
                <w:rFonts w:ascii="宋体" w:hAnsi="宋体" w:cs="宋体"/>
                <w:color w:val="000000"/>
                <w:sz w:val="18"/>
              </w:rPr>
              <w:t>对个人和家庭的补助</w:t>
            </w:r>
          </w:p>
        </w:tc>
        <w:tc>
          <w:tcPr>
            <w:tcW w:w="1500" w:type="dxa"/>
            <w:noWrap w:val="0"/>
            <w:vAlign w:val="center"/>
          </w:tcPr>
          <w:p>
            <w:pPr>
              <w:jc w:val="right"/>
            </w:pPr>
            <w:r>
              <w:rPr>
                <w:rFonts w:ascii="宋体" w:hAnsi="宋体" w:cs="宋体"/>
                <w:color w:val="000000"/>
                <w:sz w:val="18"/>
              </w:rPr>
              <w:t>203.52</w:t>
            </w:r>
          </w:p>
        </w:tc>
        <w:tc>
          <w:tcPr>
            <w:tcW w:w="620" w:type="dxa"/>
            <w:noWrap w:val="0"/>
            <w:vAlign w:val="center"/>
          </w:tcPr>
          <w:p>
            <w:pPr>
              <w:jc w:val="left"/>
            </w:pPr>
            <w:r>
              <w:rPr>
                <w:rFonts w:ascii="宋体" w:hAnsi="宋体" w:cs="宋体"/>
                <w:color w:val="000000"/>
                <w:sz w:val="18"/>
              </w:rPr>
              <w:t>30215</w:t>
            </w:r>
          </w:p>
        </w:tc>
        <w:tc>
          <w:tcPr>
            <w:tcW w:w="2320" w:type="dxa"/>
            <w:noWrap w:val="0"/>
            <w:vAlign w:val="center"/>
          </w:tcPr>
          <w:p>
            <w:pPr>
              <w:jc w:val="left"/>
            </w:pPr>
            <w:r>
              <w:rPr>
                <w:rFonts w:ascii="宋体" w:hAnsi="宋体" w:cs="宋体"/>
                <w:color w:val="000000"/>
                <w:sz w:val="18"/>
              </w:rPr>
              <w:t xml:space="preserve">  会议费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31012</w:t>
            </w:r>
          </w:p>
        </w:tc>
        <w:tc>
          <w:tcPr>
            <w:tcW w:w="3780" w:type="dxa"/>
            <w:noWrap w:val="0"/>
            <w:vAlign w:val="center"/>
          </w:tcPr>
          <w:p>
            <w:pPr>
              <w:jc w:val="left"/>
            </w:pPr>
            <w:r>
              <w:rPr>
                <w:rFonts w:ascii="宋体" w:hAnsi="宋体" w:cs="宋体"/>
                <w:color w:val="000000"/>
                <w:sz w:val="18"/>
              </w:rPr>
              <w:t xml:space="preserve">  拆迁补偿</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30301</w:t>
            </w:r>
          </w:p>
        </w:tc>
        <w:tc>
          <w:tcPr>
            <w:tcW w:w="2940" w:type="dxa"/>
            <w:noWrap w:val="0"/>
            <w:vAlign w:val="center"/>
          </w:tcPr>
          <w:p>
            <w:pPr>
              <w:jc w:val="left"/>
            </w:pPr>
            <w:r>
              <w:rPr>
                <w:rFonts w:ascii="宋体" w:hAnsi="宋体" w:cs="宋体"/>
                <w:color w:val="000000"/>
                <w:sz w:val="18"/>
              </w:rPr>
              <w:t xml:space="preserve">  离休费</w:t>
            </w:r>
          </w:p>
        </w:tc>
        <w:tc>
          <w:tcPr>
            <w:tcW w:w="1500" w:type="dxa"/>
            <w:noWrap w:val="0"/>
            <w:vAlign w:val="center"/>
          </w:tcPr>
          <w:p>
            <w:pPr>
              <w:jc w:val="right"/>
            </w:pPr>
            <w:r>
              <w:rPr>
                <w:rFonts w:ascii="宋体" w:hAnsi="宋体" w:cs="宋体"/>
                <w:color w:val="000000"/>
                <w:sz w:val="18"/>
              </w:rPr>
              <w:t>17.27</w:t>
            </w:r>
          </w:p>
        </w:tc>
        <w:tc>
          <w:tcPr>
            <w:tcW w:w="620" w:type="dxa"/>
            <w:noWrap w:val="0"/>
            <w:vAlign w:val="center"/>
          </w:tcPr>
          <w:p>
            <w:pPr>
              <w:jc w:val="left"/>
            </w:pPr>
            <w:r>
              <w:rPr>
                <w:rFonts w:ascii="宋体" w:hAnsi="宋体" w:cs="宋体"/>
                <w:color w:val="000000"/>
                <w:sz w:val="18"/>
              </w:rPr>
              <w:t>30216</w:t>
            </w:r>
          </w:p>
        </w:tc>
        <w:tc>
          <w:tcPr>
            <w:tcW w:w="2320" w:type="dxa"/>
            <w:noWrap w:val="0"/>
            <w:vAlign w:val="center"/>
          </w:tcPr>
          <w:p>
            <w:pPr>
              <w:jc w:val="left"/>
            </w:pPr>
            <w:r>
              <w:rPr>
                <w:rFonts w:ascii="宋体" w:hAnsi="宋体" w:cs="宋体"/>
                <w:color w:val="000000"/>
                <w:sz w:val="18"/>
              </w:rPr>
              <w:t xml:space="preserve">  培训费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31013</w:t>
            </w:r>
          </w:p>
        </w:tc>
        <w:tc>
          <w:tcPr>
            <w:tcW w:w="3780" w:type="dxa"/>
            <w:noWrap w:val="0"/>
            <w:vAlign w:val="center"/>
          </w:tcPr>
          <w:p>
            <w:pPr>
              <w:jc w:val="left"/>
            </w:pPr>
            <w:r>
              <w:rPr>
                <w:rFonts w:ascii="宋体" w:hAnsi="宋体" w:cs="宋体"/>
                <w:color w:val="000000"/>
                <w:sz w:val="18"/>
              </w:rPr>
              <w:t xml:space="preserve">  公务用车购置</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30302</w:t>
            </w:r>
          </w:p>
        </w:tc>
        <w:tc>
          <w:tcPr>
            <w:tcW w:w="2940" w:type="dxa"/>
            <w:noWrap w:val="0"/>
            <w:vAlign w:val="center"/>
          </w:tcPr>
          <w:p>
            <w:pPr>
              <w:jc w:val="left"/>
            </w:pPr>
            <w:r>
              <w:rPr>
                <w:rFonts w:ascii="宋体" w:hAnsi="宋体" w:cs="宋体"/>
                <w:color w:val="000000"/>
                <w:sz w:val="18"/>
              </w:rPr>
              <w:t xml:space="preserve">  退休费</w:t>
            </w:r>
          </w:p>
        </w:tc>
        <w:tc>
          <w:tcPr>
            <w:tcW w:w="1500" w:type="dxa"/>
            <w:noWrap w:val="0"/>
            <w:vAlign w:val="center"/>
          </w:tcPr>
          <w:p>
            <w:pPr>
              <w:jc w:val="right"/>
            </w:pPr>
            <w:r>
              <w:rPr>
                <w:rFonts w:ascii="宋体" w:hAnsi="宋体" w:cs="宋体"/>
                <w:color w:val="000000"/>
                <w:sz w:val="18"/>
              </w:rPr>
              <w:t>130.59</w:t>
            </w:r>
          </w:p>
        </w:tc>
        <w:tc>
          <w:tcPr>
            <w:tcW w:w="620" w:type="dxa"/>
            <w:noWrap w:val="0"/>
            <w:vAlign w:val="center"/>
          </w:tcPr>
          <w:p>
            <w:pPr>
              <w:jc w:val="left"/>
            </w:pPr>
            <w:r>
              <w:rPr>
                <w:rFonts w:ascii="宋体" w:hAnsi="宋体" w:cs="宋体"/>
                <w:color w:val="000000"/>
                <w:sz w:val="18"/>
              </w:rPr>
              <w:t>30217</w:t>
            </w:r>
          </w:p>
        </w:tc>
        <w:tc>
          <w:tcPr>
            <w:tcW w:w="2320" w:type="dxa"/>
            <w:noWrap w:val="0"/>
            <w:vAlign w:val="center"/>
          </w:tcPr>
          <w:p>
            <w:pPr>
              <w:jc w:val="left"/>
            </w:pPr>
            <w:r>
              <w:rPr>
                <w:rFonts w:ascii="宋体" w:hAnsi="宋体" w:cs="宋体"/>
                <w:color w:val="000000"/>
                <w:sz w:val="18"/>
              </w:rPr>
              <w:t xml:space="preserve">  公务接待费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31019</w:t>
            </w:r>
          </w:p>
        </w:tc>
        <w:tc>
          <w:tcPr>
            <w:tcW w:w="3780" w:type="dxa"/>
            <w:noWrap w:val="0"/>
            <w:vAlign w:val="center"/>
          </w:tcPr>
          <w:p>
            <w:pPr>
              <w:jc w:val="left"/>
            </w:pPr>
            <w:r>
              <w:rPr>
                <w:rFonts w:ascii="宋体" w:hAnsi="宋体" w:cs="宋体"/>
                <w:color w:val="000000"/>
                <w:sz w:val="18"/>
              </w:rPr>
              <w:t xml:space="preserve">  其他交通工具购置</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30303</w:t>
            </w:r>
          </w:p>
        </w:tc>
        <w:tc>
          <w:tcPr>
            <w:tcW w:w="2940" w:type="dxa"/>
            <w:noWrap w:val="0"/>
            <w:vAlign w:val="center"/>
          </w:tcPr>
          <w:p>
            <w:pPr>
              <w:jc w:val="left"/>
            </w:pPr>
            <w:r>
              <w:rPr>
                <w:rFonts w:ascii="宋体" w:hAnsi="宋体" w:cs="宋体"/>
                <w:color w:val="000000"/>
                <w:sz w:val="18"/>
              </w:rPr>
              <w:t xml:space="preserve">  退职（役）费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30218</w:t>
            </w:r>
          </w:p>
        </w:tc>
        <w:tc>
          <w:tcPr>
            <w:tcW w:w="2320" w:type="dxa"/>
            <w:noWrap w:val="0"/>
            <w:vAlign w:val="center"/>
          </w:tcPr>
          <w:p>
            <w:pPr>
              <w:jc w:val="left"/>
            </w:pPr>
            <w:r>
              <w:rPr>
                <w:rFonts w:ascii="宋体" w:hAnsi="宋体" w:cs="宋体"/>
                <w:color w:val="000000"/>
                <w:sz w:val="18"/>
              </w:rPr>
              <w:t xml:space="preserve">  专用材料费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31021</w:t>
            </w:r>
          </w:p>
        </w:tc>
        <w:tc>
          <w:tcPr>
            <w:tcW w:w="3780" w:type="dxa"/>
            <w:noWrap w:val="0"/>
            <w:vAlign w:val="center"/>
          </w:tcPr>
          <w:p>
            <w:pPr>
              <w:jc w:val="left"/>
            </w:pPr>
            <w:r>
              <w:rPr>
                <w:rFonts w:ascii="宋体" w:hAnsi="宋体" w:cs="宋体"/>
                <w:color w:val="000000"/>
                <w:sz w:val="18"/>
              </w:rPr>
              <w:t xml:space="preserve">  文物和陈列品购置</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30304</w:t>
            </w:r>
          </w:p>
        </w:tc>
        <w:tc>
          <w:tcPr>
            <w:tcW w:w="2940" w:type="dxa"/>
            <w:noWrap w:val="0"/>
            <w:vAlign w:val="center"/>
          </w:tcPr>
          <w:p>
            <w:pPr>
              <w:jc w:val="left"/>
            </w:pPr>
            <w:r>
              <w:rPr>
                <w:rFonts w:ascii="宋体" w:hAnsi="宋体" w:cs="宋体"/>
                <w:color w:val="000000"/>
                <w:sz w:val="18"/>
              </w:rPr>
              <w:t xml:space="preserve">  抚恤金</w:t>
            </w:r>
          </w:p>
        </w:tc>
        <w:tc>
          <w:tcPr>
            <w:tcW w:w="1500" w:type="dxa"/>
            <w:noWrap w:val="0"/>
            <w:vAlign w:val="center"/>
          </w:tcPr>
          <w:p>
            <w:pPr>
              <w:jc w:val="right"/>
            </w:pPr>
            <w:r>
              <w:rPr>
                <w:rFonts w:ascii="宋体" w:hAnsi="宋体" w:cs="宋体"/>
                <w:color w:val="000000"/>
                <w:sz w:val="18"/>
              </w:rPr>
              <w:t>3.26</w:t>
            </w:r>
          </w:p>
        </w:tc>
        <w:tc>
          <w:tcPr>
            <w:tcW w:w="620" w:type="dxa"/>
            <w:noWrap w:val="0"/>
            <w:vAlign w:val="center"/>
          </w:tcPr>
          <w:p>
            <w:pPr>
              <w:jc w:val="left"/>
            </w:pPr>
            <w:r>
              <w:rPr>
                <w:rFonts w:ascii="宋体" w:hAnsi="宋体" w:cs="宋体"/>
                <w:color w:val="000000"/>
                <w:sz w:val="18"/>
              </w:rPr>
              <w:t>30224</w:t>
            </w:r>
          </w:p>
        </w:tc>
        <w:tc>
          <w:tcPr>
            <w:tcW w:w="2320" w:type="dxa"/>
            <w:noWrap w:val="0"/>
            <w:vAlign w:val="center"/>
          </w:tcPr>
          <w:p>
            <w:pPr>
              <w:jc w:val="left"/>
            </w:pPr>
            <w:r>
              <w:rPr>
                <w:rFonts w:ascii="宋体" w:hAnsi="宋体" w:cs="宋体"/>
                <w:color w:val="000000"/>
                <w:sz w:val="18"/>
              </w:rPr>
              <w:t xml:space="preserve">  被装购置费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31022</w:t>
            </w:r>
          </w:p>
        </w:tc>
        <w:tc>
          <w:tcPr>
            <w:tcW w:w="3780" w:type="dxa"/>
            <w:noWrap w:val="0"/>
            <w:vAlign w:val="center"/>
          </w:tcPr>
          <w:p>
            <w:pPr>
              <w:jc w:val="left"/>
            </w:pPr>
            <w:r>
              <w:rPr>
                <w:rFonts w:ascii="宋体" w:hAnsi="宋体" w:cs="宋体"/>
                <w:color w:val="000000"/>
                <w:sz w:val="18"/>
              </w:rPr>
              <w:t xml:space="preserve">  无形资产购置</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30305</w:t>
            </w:r>
          </w:p>
        </w:tc>
        <w:tc>
          <w:tcPr>
            <w:tcW w:w="2940" w:type="dxa"/>
            <w:noWrap w:val="0"/>
            <w:vAlign w:val="center"/>
          </w:tcPr>
          <w:p>
            <w:pPr>
              <w:jc w:val="left"/>
            </w:pPr>
            <w:r>
              <w:rPr>
                <w:rFonts w:ascii="宋体" w:hAnsi="宋体" w:cs="宋体"/>
                <w:color w:val="000000"/>
                <w:sz w:val="18"/>
              </w:rPr>
              <w:t xml:space="preserve">  生活补助</w:t>
            </w:r>
          </w:p>
        </w:tc>
        <w:tc>
          <w:tcPr>
            <w:tcW w:w="1500" w:type="dxa"/>
            <w:noWrap w:val="0"/>
            <w:vAlign w:val="center"/>
          </w:tcPr>
          <w:p>
            <w:pPr>
              <w:jc w:val="right"/>
            </w:pPr>
            <w:r>
              <w:rPr>
                <w:rFonts w:ascii="宋体" w:hAnsi="宋体" w:cs="宋体"/>
                <w:color w:val="000000"/>
                <w:sz w:val="18"/>
              </w:rPr>
              <w:t>0.90</w:t>
            </w:r>
          </w:p>
        </w:tc>
        <w:tc>
          <w:tcPr>
            <w:tcW w:w="620" w:type="dxa"/>
            <w:noWrap w:val="0"/>
            <w:vAlign w:val="center"/>
          </w:tcPr>
          <w:p>
            <w:pPr>
              <w:jc w:val="left"/>
            </w:pPr>
            <w:r>
              <w:rPr>
                <w:rFonts w:ascii="宋体" w:hAnsi="宋体" w:cs="宋体"/>
                <w:color w:val="000000"/>
                <w:sz w:val="18"/>
              </w:rPr>
              <w:t>30225</w:t>
            </w:r>
          </w:p>
        </w:tc>
        <w:tc>
          <w:tcPr>
            <w:tcW w:w="2320" w:type="dxa"/>
            <w:noWrap w:val="0"/>
            <w:vAlign w:val="center"/>
          </w:tcPr>
          <w:p>
            <w:pPr>
              <w:jc w:val="left"/>
            </w:pPr>
            <w:r>
              <w:rPr>
                <w:rFonts w:ascii="宋体" w:hAnsi="宋体" w:cs="宋体"/>
                <w:color w:val="000000"/>
                <w:sz w:val="18"/>
              </w:rPr>
              <w:t xml:space="preserve">  专用燃料费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31099</w:t>
            </w:r>
          </w:p>
        </w:tc>
        <w:tc>
          <w:tcPr>
            <w:tcW w:w="3780" w:type="dxa"/>
            <w:noWrap w:val="0"/>
            <w:vAlign w:val="center"/>
          </w:tcPr>
          <w:p>
            <w:pPr>
              <w:jc w:val="left"/>
            </w:pPr>
            <w:r>
              <w:rPr>
                <w:rFonts w:ascii="宋体" w:hAnsi="宋体" w:cs="宋体"/>
                <w:color w:val="000000"/>
                <w:sz w:val="18"/>
              </w:rPr>
              <w:t xml:space="preserve">  其他资本性支出</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30306</w:t>
            </w:r>
          </w:p>
        </w:tc>
        <w:tc>
          <w:tcPr>
            <w:tcW w:w="2940" w:type="dxa"/>
            <w:noWrap w:val="0"/>
            <w:vAlign w:val="center"/>
          </w:tcPr>
          <w:p>
            <w:pPr>
              <w:jc w:val="left"/>
            </w:pPr>
            <w:r>
              <w:rPr>
                <w:rFonts w:ascii="宋体" w:hAnsi="宋体" w:cs="宋体"/>
                <w:color w:val="000000"/>
                <w:sz w:val="18"/>
              </w:rPr>
              <w:t xml:space="preserve">  救济费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30226</w:t>
            </w:r>
          </w:p>
        </w:tc>
        <w:tc>
          <w:tcPr>
            <w:tcW w:w="2320" w:type="dxa"/>
            <w:noWrap w:val="0"/>
            <w:vAlign w:val="center"/>
          </w:tcPr>
          <w:p>
            <w:pPr>
              <w:jc w:val="left"/>
            </w:pPr>
            <w:r>
              <w:rPr>
                <w:rFonts w:ascii="宋体" w:hAnsi="宋体" w:cs="宋体"/>
                <w:color w:val="000000"/>
                <w:sz w:val="18"/>
              </w:rPr>
              <w:t xml:space="preserve">  劳务费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399</w:t>
            </w:r>
          </w:p>
        </w:tc>
        <w:tc>
          <w:tcPr>
            <w:tcW w:w="3780" w:type="dxa"/>
            <w:noWrap w:val="0"/>
            <w:vAlign w:val="center"/>
          </w:tcPr>
          <w:p>
            <w:pPr>
              <w:jc w:val="left"/>
            </w:pPr>
            <w:r>
              <w:rPr>
                <w:rFonts w:ascii="宋体" w:hAnsi="宋体" w:cs="宋体"/>
                <w:color w:val="000000"/>
                <w:sz w:val="18"/>
              </w:rPr>
              <w:t>其他支出</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30307</w:t>
            </w:r>
          </w:p>
        </w:tc>
        <w:tc>
          <w:tcPr>
            <w:tcW w:w="2940" w:type="dxa"/>
            <w:noWrap w:val="0"/>
            <w:vAlign w:val="center"/>
          </w:tcPr>
          <w:p>
            <w:pPr>
              <w:jc w:val="left"/>
            </w:pPr>
            <w:r>
              <w:rPr>
                <w:rFonts w:ascii="宋体" w:hAnsi="宋体" w:cs="宋体"/>
                <w:color w:val="000000"/>
                <w:sz w:val="18"/>
              </w:rPr>
              <w:t xml:space="preserve">  医疗费补助</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30227</w:t>
            </w:r>
          </w:p>
        </w:tc>
        <w:tc>
          <w:tcPr>
            <w:tcW w:w="2320" w:type="dxa"/>
            <w:noWrap w:val="0"/>
            <w:vAlign w:val="center"/>
          </w:tcPr>
          <w:p>
            <w:pPr>
              <w:jc w:val="left"/>
            </w:pPr>
            <w:r>
              <w:rPr>
                <w:rFonts w:ascii="宋体" w:hAnsi="宋体" w:cs="宋体"/>
                <w:color w:val="000000"/>
                <w:sz w:val="18"/>
              </w:rPr>
              <w:t xml:space="preserve">  委托业务费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39907</w:t>
            </w:r>
          </w:p>
        </w:tc>
        <w:tc>
          <w:tcPr>
            <w:tcW w:w="3780" w:type="dxa"/>
            <w:noWrap w:val="0"/>
            <w:vAlign w:val="center"/>
          </w:tcPr>
          <w:p>
            <w:pPr>
              <w:jc w:val="left"/>
            </w:pPr>
            <w:r>
              <w:rPr>
                <w:rFonts w:ascii="宋体" w:hAnsi="宋体" w:cs="宋体"/>
                <w:color w:val="000000"/>
                <w:sz w:val="18"/>
              </w:rPr>
              <w:t xml:space="preserve">  国家赔偿费用支出</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30308</w:t>
            </w:r>
          </w:p>
        </w:tc>
        <w:tc>
          <w:tcPr>
            <w:tcW w:w="2940" w:type="dxa"/>
            <w:noWrap w:val="0"/>
            <w:vAlign w:val="center"/>
          </w:tcPr>
          <w:p>
            <w:pPr>
              <w:jc w:val="left"/>
            </w:pPr>
            <w:r>
              <w:rPr>
                <w:rFonts w:ascii="宋体" w:hAnsi="宋体" w:cs="宋体"/>
                <w:color w:val="000000"/>
                <w:sz w:val="18"/>
              </w:rPr>
              <w:t xml:space="preserve">  助学金</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30228</w:t>
            </w:r>
          </w:p>
        </w:tc>
        <w:tc>
          <w:tcPr>
            <w:tcW w:w="2320" w:type="dxa"/>
            <w:noWrap w:val="0"/>
            <w:vAlign w:val="center"/>
          </w:tcPr>
          <w:p>
            <w:pPr>
              <w:jc w:val="left"/>
            </w:pPr>
            <w:r>
              <w:rPr>
                <w:rFonts w:ascii="宋体" w:hAnsi="宋体" w:cs="宋体"/>
                <w:color w:val="000000"/>
                <w:sz w:val="18"/>
              </w:rPr>
              <w:t xml:space="preserve">  工会经费</w:t>
            </w:r>
          </w:p>
        </w:tc>
        <w:tc>
          <w:tcPr>
            <w:tcW w:w="1500" w:type="dxa"/>
            <w:noWrap w:val="0"/>
            <w:vAlign w:val="center"/>
          </w:tcPr>
          <w:p>
            <w:pPr>
              <w:jc w:val="right"/>
            </w:pPr>
            <w:r>
              <w:rPr>
                <w:rFonts w:ascii="宋体" w:hAnsi="宋体" w:cs="宋体"/>
                <w:color w:val="000000"/>
                <w:sz w:val="18"/>
              </w:rPr>
              <w:t>8.97</w:t>
            </w:r>
          </w:p>
        </w:tc>
        <w:tc>
          <w:tcPr>
            <w:tcW w:w="620" w:type="dxa"/>
            <w:noWrap w:val="0"/>
            <w:vAlign w:val="center"/>
          </w:tcPr>
          <w:p>
            <w:pPr>
              <w:jc w:val="left"/>
            </w:pPr>
            <w:r>
              <w:rPr>
                <w:rFonts w:ascii="宋体" w:hAnsi="宋体" w:cs="宋体"/>
                <w:color w:val="000000"/>
                <w:sz w:val="18"/>
              </w:rPr>
              <w:t>39908</w:t>
            </w:r>
          </w:p>
        </w:tc>
        <w:tc>
          <w:tcPr>
            <w:tcW w:w="3780" w:type="dxa"/>
            <w:noWrap w:val="0"/>
            <w:vAlign w:val="center"/>
          </w:tcPr>
          <w:p>
            <w:pPr>
              <w:jc w:val="left"/>
            </w:pPr>
            <w:r>
              <w:rPr>
                <w:rFonts w:ascii="宋体" w:hAnsi="宋体" w:cs="宋体"/>
                <w:color w:val="000000"/>
                <w:sz w:val="18"/>
              </w:rPr>
              <w:t xml:space="preserve">  对民间非营利组织和群众性自治组织补贴</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30309</w:t>
            </w:r>
          </w:p>
        </w:tc>
        <w:tc>
          <w:tcPr>
            <w:tcW w:w="2940" w:type="dxa"/>
            <w:noWrap w:val="0"/>
            <w:vAlign w:val="center"/>
          </w:tcPr>
          <w:p>
            <w:pPr>
              <w:jc w:val="left"/>
            </w:pPr>
            <w:r>
              <w:rPr>
                <w:rFonts w:ascii="宋体" w:hAnsi="宋体" w:cs="宋体"/>
                <w:color w:val="000000"/>
                <w:sz w:val="18"/>
              </w:rPr>
              <w:t xml:space="preserve">  奖励金</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30229</w:t>
            </w:r>
          </w:p>
        </w:tc>
        <w:tc>
          <w:tcPr>
            <w:tcW w:w="2320" w:type="dxa"/>
            <w:noWrap w:val="0"/>
            <w:vAlign w:val="center"/>
          </w:tcPr>
          <w:p>
            <w:pPr>
              <w:jc w:val="left"/>
            </w:pPr>
            <w:r>
              <w:rPr>
                <w:rFonts w:ascii="宋体" w:hAnsi="宋体" w:cs="宋体"/>
                <w:color w:val="000000"/>
                <w:sz w:val="18"/>
              </w:rPr>
              <w:t xml:space="preserve">  福利费</w:t>
            </w:r>
          </w:p>
        </w:tc>
        <w:tc>
          <w:tcPr>
            <w:tcW w:w="1500" w:type="dxa"/>
            <w:noWrap w:val="0"/>
            <w:vAlign w:val="center"/>
          </w:tcPr>
          <w:p>
            <w:pPr>
              <w:jc w:val="right"/>
            </w:pPr>
            <w:r>
              <w:rPr>
                <w:rFonts w:ascii="宋体" w:hAnsi="宋体" w:cs="宋体"/>
                <w:color w:val="000000"/>
                <w:sz w:val="18"/>
              </w:rPr>
              <w:t>4.20</w:t>
            </w:r>
          </w:p>
        </w:tc>
        <w:tc>
          <w:tcPr>
            <w:tcW w:w="620" w:type="dxa"/>
            <w:noWrap w:val="0"/>
            <w:vAlign w:val="center"/>
          </w:tcPr>
          <w:p>
            <w:pPr>
              <w:jc w:val="left"/>
            </w:pPr>
            <w:r>
              <w:rPr>
                <w:rFonts w:ascii="宋体" w:hAnsi="宋体" w:cs="宋体"/>
                <w:color w:val="000000"/>
                <w:sz w:val="18"/>
              </w:rPr>
              <w:t>39909</w:t>
            </w:r>
          </w:p>
        </w:tc>
        <w:tc>
          <w:tcPr>
            <w:tcW w:w="3780" w:type="dxa"/>
            <w:noWrap w:val="0"/>
            <w:vAlign w:val="center"/>
          </w:tcPr>
          <w:p>
            <w:pPr>
              <w:jc w:val="left"/>
            </w:pPr>
            <w:r>
              <w:rPr>
                <w:rFonts w:ascii="宋体" w:hAnsi="宋体" w:cs="宋体"/>
                <w:color w:val="000000"/>
                <w:sz w:val="18"/>
              </w:rPr>
              <w:t xml:space="preserve">  经常性赠与</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30310</w:t>
            </w:r>
          </w:p>
        </w:tc>
        <w:tc>
          <w:tcPr>
            <w:tcW w:w="2940" w:type="dxa"/>
            <w:noWrap w:val="0"/>
            <w:vAlign w:val="center"/>
          </w:tcPr>
          <w:p>
            <w:pPr>
              <w:jc w:val="left"/>
            </w:pPr>
            <w:r>
              <w:rPr>
                <w:rFonts w:ascii="宋体" w:hAnsi="宋体" w:cs="宋体"/>
                <w:color w:val="000000"/>
                <w:sz w:val="18"/>
              </w:rPr>
              <w:t xml:space="preserve">  个人农业生产补贴</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30231</w:t>
            </w:r>
          </w:p>
        </w:tc>
        <w:tc>
          <w:tcPr>
            <w:tcW w:w="2320" w:type="dxa"/>
            <w:noWrap w:val="0"/>
            <w:vAlign w:val="center"/>
          </w:tcPr>
          <w:p>
            <w:pPr>
              <w:jc w:val="left"/>
            </w:pPr>
            <w:r>
              <w:rPr>
                <w:rFonts w:ascii="宋体" w:hAnsi="宋体" w:cs="宋体"/>
                <w:color w:val="000000"/>
                <w:sz w:val="18"/>
              </w:rPr>
              <w:t xml:space="preserve">  公务用车运行维护费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39910</w:t>
            </w:r>
          </w:p>
        </w:tc>
        <w:tc>
          <w:tcPr>
            <w:tcW w:w="3780" w:type="dxa"/>
            <w:noWrap w:val="0"/>
            <w:vAlign w:val="center"/>
          </w:tcPr>
          <w:p>
            <w:pPr>
              <w:jc w:val="left"/>
            </w:pPr>
            <w:r>
              <w:rPr>
                <w:rFonts w:ascii="宋体" w:hAnsi="宋体" w:cs="宋体"/>
                <w:color w:val="000000"/>
                <w:sz w:val="18"/>
              </w:rPr>
              <w:t xml:space="preserve">  资本性赠与</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30311</w:t>
            </w:r>
          </w:p>
        </w:tc>
        <w:tc>
          <w:tcPr>
            <w:tcW w:w="2940" w:type="dxa"/>
            <w:noWrap w:val="0"/>
            <w:vAlign w:val="center"/>
          </w:tcPr>
          <w:p>
            <w:pPr>
              <w:jc w:val="left"/>
            </w:pPr>
            <w:r>
              <w:rPr>
                <w:rFonts w:ascii="宋体" w:hAnsi="宋体" w:cs="宋体"/>
                <w:color w:val="000000"/>
                <w:sz w:val="18"/>
              </w:rPr>
              <w:t xml:space="preserve">  代缴社会保险费</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30239</w:t>
            </w:r>
          </w:p>
        </w:tc>
        <w:tc>
          <w:tcPr>
            <w:tcW w:w="2320" w:type="dxa"/>
            <w:noWrap w:val="0"/>
            <w:vAlign w:val="center"/>
          </w:tcPr>
          <w:p>
            <w:pPr>
              <w:jc w:val="left"/>
            </w:pPr>
            <w:r>
              <w:rPr>
                <w:rFonts w:ascii="宋体" w:hAnsi="宋体" w:cs="宋体"/>
                <w:color w:val="000000"/>
                <w:sz w:val="18"/>
              </w:rPr>
              <w:t xml:space="preserve">  其他交通费用</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pPr>
              <w:jc w:val="left"/>
            </w:pPr>
            <w:r>
              <w:rPr>
                <w:rFonts w:ascii="宋体" w:hAnsi="宋体" w:cs="宋体"/>
                <w:color w:val="000000"/>
                <w:sz w:val="18"/>
              </w:rPr>
              <w:t>39999</w:t>
            </w:r>
          </w:p>
        </w:tc>
        <w:tc>
          <w:tcPr>
            <w:tcW w:w="3780" w:type="dxa"/>
            <w:noWrap w:val="0"/>
            <w:vAlign w:val="center"/>
          </w:tcPr>
          <w:p>
            <w:pPr>
              <w:jc w:val="left"/>
            </w:pPr>
            <w:r>
              <w:rPr>
                <w:rFonts w:ascii="宋体" w:hAnsi="宋体" w:cs="宋体"/>
                <w:color w:val="000000"/>
                <w:sz w:val="18"/>
              </w:rPr>
              <w:t xml:space="preserve">  其他支出</w:t>
            </w:r>
          </w:p>
        </w:tc>
        <w:tc>
          <w:tcPr>
            <w:tcW w:w="1498" w:type="dxa"/>
            <w:noWrap w:val="0"/>
            <w:vAlign w:val="center"/>
          </w:tcPr>
          <w:p>
            <w:pPr>
              <w:jc w:val="right"/>
            </w:pPr>
            <w:r>
              <w:rPr>
                <w:rFonts w:ascii="宋体" w:hAnsi="宋体" w:cs="宋体"/>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pPr>
              <w:jc w:val="left"/>
            </w:pPr>
            <w:r>
              <w:rPr>
                <w:rFonts w:ascii="宋体" w:hAnsi="宋体" w:cs="宋体"/>
                <w:color w:val="000000"/>
                <w:sz w:val="18"/>
              </w:rPr>
              <w:t>30399</w:t>
            </w:r>
          </w:p>
        </w:tc>
        <w:tc>
          <w:tcPr>
            <w:tcW w:w="2940" w:type="dxa"/>
            <w:noWrap w:val="0"/>
            <w:vAlign w:val="center"/>
          </w:tcPr>
          <w:p>
            <w:pPr>
              <w:jc w:val="left"/>
            </w:pPr>
            <w:r>
              <w:rPr>
                <w:rFonts w:ascii="宋体" w:hAnsi="宋体" w:cs="宋体"/>
                <w:color w:val="000000"/>
                <w:sz w:val="18"/>
              </w:rPr>
              <w:t xml:space="preserve">  其他对个人和家庭的补助</w:t>
            </w:r>
          </w:p>
        </w:tc>
        <w:tc>
          <w:tcPr>
            <w:tcW w:w="1500" w:type="dxa"/>
            <w:noWrap w:val="0"/>
            <w:vAlign w:val="center"/>
          </w:tcPr>
          <w:p>
            <w:pPr>
              <w:jc w:val="right"/>
            </w:pPr>
            <w:r>
              <w:rPr>
                <w:rFonts w:ascii="宋体" w:hAnsi="宋体" w:cs="宋体"/>
                <w:color w:val="000000"/>
                <w:sz w:val="18"/>
              </w:rPr>
              <w:t>51.50</w:t>
            </w:r>
          </w:p>
        </w:tc>
        <w:tc>
          <w:tcPr>
            <w:tcW w:w="620" w:type="dxa"/>
            <w:noWrap w:val="0"/>
            <w:vAlign w:val="center"/>
          </w:tcPr>
          <w:p>
            <w:pPr>
              <w:jc w:val="left"/>
            </w:pPr>
            <w:r>
              <w:rPr>
                <w:rFonts w:ascii="宋体" w:hAnsi="宋体" w:cs="宋体"/>
                <w:color w:val="000000"/>
                <w:sz w:val="18"/>
              </w:rPr>
              <w:t>30240</w:t>
            </w:r>
          </w:p>
        </w:tc>
        <w:tc>
          <w:tcPr>
            <w:tcW w:w="2320" w:type="dxa"/>
            <w:noWrap w:val="0"/>
            <w:vAlign w:val="center"/>
          </w:tcPr>
          <w:p>
            <w:pPr>
              <w:jc w:val="left"/>
            </w:pPr>
            <w:r>
              <w:rPr>
                <w:rFonts w:ascii="宋体" w:hAnsi="宋体" w:cs="宋体"/>
                <w:color w:val="000000"/>
                <w:sz w:val="18"/>
              </w:rPr>
              <w:t xml:space="preserve">  税金及附加费用</w:t>
            </w:r>
          </w:p>
        </w:tc>
        <w:tc>
          <w:tcPr>
            <w:tcW w:w="1500" w:type="dxa"/>
            <w:noWrap w:val="0"/>
            <w:vAlign w:val="center"/>
          </w:tcPr>
          <w:p>
            <w:pPr>
              <w:jc w:val="right"/>
            </w:pPr>
            <w:r>
              <w:rPr>
                <w:rFonts w:ascii="宋体" w:hAnsi="宋体" w:cs="宋体"/>
                <w:color w:val="000000"/>
                <w:sz w:val="18"/>
              </w:rPr>
              <w:t>0.00</w:t>
            </w:r>
          </w:p>
        </w:tc>
        <w:tc>
          <w:tcPr>
            <w:tcW w:w="620" w:type="dxa"/>
            <w:noWrap w:val="0"/>
            <w:vAlign w:val="center"/>
          </w:tcPr>
          <w:p/>
        </w:tc>
        <w:tc>
          <w:tcPr>
            <w:tcW w:w="3780" w:type="dxa"/>
            <w:noWrap w:val="0"/>
            <w:vAlign w:val="center"/>
          </w:tcPr>
          <w:p/>
        </w:tc>
        <w:tc>
          <w:tcPr>
            <w:tcW w:w="1498" w:type="dxa"/>
            <w:noWrap w:val="0"/>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noWrap w:val="0"/>
            <w:vAlign w:val="center"/>
          </w:tcPr>
          <w:p/>
        </w:tc>
        <w:tc>
          <w:tcPr>
            <w:tcW w:w="2940" w:type="dxa"/>
            <w:noWrap w:val="0"/>
            <w:vAlign w:val="center"/>
          </w:tcPr>
          <w:p/>
        </w:tc>
        <w:tc>
          <w:tcPr>
            <w:tcW w:w="1500" w:type="dxa"/>
            <w:noWrap w:val="0"/>
            <w:vAlign w:val="center"/>
          </w:tcPr>
          <w:p/>
        </w:tc>
        <w:tc>
          <w:tcPr>
            <w:tcW w:w="620" w:type="dxa"/>
            <w:noWrap w:val="0"/>
            <w:vAlign w:val="center"/>
          </w:tcPr>
          <w:p>
            <w:pPr>
              <w:jc w:val="left"/>
            </w:pPr>
            <w:r>
              <w:rPr>
                <w:rFonts w:ascii="宋体" w:hAnsi="宋体" w:cs="宋体"/>
                <w:color w:val="000000"/>
                <w:sz w:val="18"/>
              </w:rPr>
              <w:t>30299</w:t>
            </w:r>
          </w:p>
        </w:tc>
        <w:tc>
          <w:tcPr>
            <w:tcW w:w="2320" w:type="dxa"/>
            <w:noWrap w:val="0"/>
            <w:vAlign w:val="center"/>
          </w:tcPr>
          <w:p>
            <w:pPr>
              <w:jc w:val="left"/>
            </w:pPr>
            <w:r>
              <w:rPr>
                <w:rFonts w:ascii="宋体" w:hAnsi="宋体" w:cs="宋体"/>
                <w:color w:val="000000"/>
                <w:sz w:val="18"/>
              </w:rPr>
              <w:t xml:space="preserve">  其他商品和服务支出</w:t>
            </w:r>
          </w:p>
        </w:tc>
        <w:tc>
          <w:tcPr>
            <w:tcW w:w="1500" w:type="dxa"/>
            <w:noWrap w:val="0"/>
            <w:vAlign w:val="center"/>
          </w:tcPr>
          <w:p>
            <w:pPr>
              <w:jc w:val="right"/>
            </w:pPr>
            <w:r>
              <w:rPr>
                <w:rFonts w:ascii="宋体" w:hAnsi="宋体" w:cs="宋体"/>
                <w:color w:val="000000"/>
                <w:sz w:val="18"/>
              </w:rPr>
              <w:t>80.00</w:t>
            </w:r>
          </w:p>
        </w:tc>
        <w:tc>
          <w:tcPr>
            <w:tcW w:w="620" w:type="dxa"/>
            <w:noWrap w:val="0"/>
            <w:vAlign w:val="center"/>
          </w:tcPr>
          <w:p/>
        </w:tc>
        <w:tc>
          <w:tcPr>
            <w:tcW w:w="3780" w:type="dxa"/>
            <w:noWrap w:val="0"/>
            <w:vAlign w:val="center"/>
          </w:tcPr>
          <w:p/>
        </w:tc>
        <w:tc>
          <w:tcPr>
            <w:tcW w:w="1498" w:type="dxa"/>
            <w:noWrap w:val="0"/>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gridSpan w:val="2"/>
            <w:noWrap w:val="0"/>
            <w:vAlign w:val="center"/>
          </w:tcPr>
          <w:p>
            <w:pPr>
              <w:jc w:val="center"/>
            </w:pPr>
            <w:r>
              <w:rPr>
                <w:rFonts w:ascii="宋体" w:hAnsi="宋体" w:cs="宋体"/>
                <w:color w:val="000000"/>
                <w:sz w:val="18"/>
              </w:rPr>
              <w:t>人员经费合计</w:t>
            </w:r>
          </w:p>
        </w:tc>
        <w:tc>
          <w:tcPr>
            <w:tcW w:w="1500" w:type="dxa"/>
            <w:noWrap w:val="0"/>
            <w:vAlign w:val="center"/>
          </w:tcPr>
          <w:p>
            <w:pPr>
              <w:jc w:val="right"/>
            </w:pPr>
            <w:r>
              <w:rPr>
                <w:rFonts w:ascii="宋体" w:hAnsi="宋体" w:cs="宋体"/>
                <w:color w:val="000000"/>
                <w:sz w:val="18"/>
              </w:rPr>
              <w:t>1,808.01</w:t>
            </w:r>
          </w:p>
        </w:tc>
        <w:tc>
          <w:tcPr>
            <w:tcW w:w="620" w:type="dxa"/>
            <w:gridSpan w:val="5"/>
            <w:noWrap w:val="0"/>
            <w:vAlign w:val="center"/>
          </w:tcPr>
          <w:p>
            <w:pPr>
              <w:jc w:val="center"/>
            </w:pPr>
            <w:r>
              <w:rPr>
                <w:rFonts w:ascii="宋体" w:hAnsi="宋体" w:cs="宋体"/>
                <w:color w:val="000000"/>
                <w:sz w:val="18"/>
              </w:rPr>
              <w:t>公用经费合计</w:t>
            </w:r>
          </w:p>
        </w:tc>
        <w:tc>
          <w:tcPr>
            <w:tcW w:w="1498" w:type="dxa"/>
            <w:noWrap w:val="0"/>
            <w:vAlign w:val="center"/>
          </w:tcPr>
          <w:p>
            <w:pPr>
              <w:jc w:val="right"/>
            </w:pPr>
            <w:r>
              <w:rPr>
                <w:rFonts w:ascii="宋体" w:hAnsi="宋体" w:cs="宋体"/>
                <w:color w:val="000000"/>
                <w:sz w:val="18"/>
              </w:rPr>
              <w:t>113.17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76" w:hRule="exact"/>
          <w:jc w:val="center"/>
        </w:trPr>
        <w:tc>
          <w:tcPr>
            <w:tcW w:w="620" w:type="dxa"/>
            <w:gridSpan w:val="9"/>
            <w:tcBorders>
              <w:left w:val="single" w:color="FFFFFF" w:sz="4" w:space="0"/>
              <w:bottom w:val="single" w:color="FFFFFF" w:sz="4" w:space="0"/>
              <w:right w:val="single" w:color="FFFFFF" w:sz="4" w:space="0"/>
            </w:tcBorders>
            <w:noWrap w:val="0"/>
            <w:vAlign w:val="center"/>
          </w:tcPr>
          <w:p>
            <w:pPr>
              <w:jc w:val="left"/>
            </w:pPr>
            <w:r>
              <w:rPr>
                <w:rFonts w:ascii="宋体" w:hAnsi="宋体" w:cs="宋体"/>
                <w:color w:val="000000"/>
                <w:sz w:val="18"/>
              </w:rPr>
              <w:t>注：本表反映部门本年度一般公共预算财政拨款基本支出明细情况。</w:t>
            </w:r>
          </w:p>
        </w:tc>
      </w:tr>
    </w:tbl>
    <w:p>
      <w:pPr>
        <w:snapToGrid w:val="0"/>
        <w:spacing w:before="200" w:after="200" w:line="200" w:lineRule="auto"/>
      </w:pPr>
      <w:r>
        <w:rPr>
          <w:sz w:val="8"/>
        </w:rPr>
        <w:t xml:space="preserve"> </w:t>
      </w:r>
    </w:p>
    <w:p>
      <w:pPr>
        <w:rPr>
          <w:rFonts w:ascii="黑体" w:hAnsi="仿宋" w:eastAsia="黑体"/>
          <w:sz w:val="28"/>
          <w:szCs w:val="28"/>
        </w:rPr>
      </w:pPr>
      <w:r>
        <w:br w:type="page"/>
      </w:r>
    </w:p>
    <w:p>
      <w:pPr>
        <w:jc w:val="left"/>
        <w:rPr>
          <w:rFonts w:ascii="黑体" w:hAnsi="仿宋" w:eastAsia="黑体"/>
          <w:sz w:val="28"/>
          <w:szCs w:val="28"/>
        </w:rPr>
      </w:pPr>
      <w:r>
        <w:rPr>
          <w:rFonts w:hint="eastAsia" w:ascii="黑体" w:hAnsi="仿宋" w:eastAsia="黑体"/>
          <w:sz w:val="28"/>
          <w:szCs w:val="28"/>
        </w:rPr>
        <w:t xml:space="preserve">七、政府性基金预算财政拨款收入支出决算表 </w:t>
      </w:r>
    </w:p>
    <w:p>
      <w:pPr>
        <w:jc w:val="center"/>
        <w:rPr>
          <w:rFonts w:ascii="黑体" w:hAnsi="仿宋" w:eastAsia="黑体"/>
          <w:sz w:val="28"/>
          <w:szCs w:val="28"/>
        </w:rPr>
      </w:pPr>
      <w:r>
        <w:rPr>
          <w:rFonts w:hint="eastAsia" w:ascii="黑体" w:hAnsi="仿宋" w:eastAsia="黑体"/>
          <w:sz w:val="28"/>
          <w:szCs w:val="28"/>
        </w:rPr>
        <w:t>政府性基金预算财政拨款收入支出决算表</w:t>
      </w:r>
    </w:p>
    <w:tbl>
      <w:tblPr>
        <w:tblStyle w:val="1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6699"/>
        <w:gridCol w:w="2000"/>
        <w:gridCol w:w="669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gridSpan w:val="3"/>
            <w:noWrap w:val="0"/>
            <w:vAlign w:val="top"/>
          </w:tcPr>
          <w:p>
            <w:pPr>
              <w:jc w:val="right"/>
            </w:pPr>
            <w:r>
              <w:rPr>
                <w:rFonts w:ascii="宋体" w:hAnsi="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noWrap w:val="0"/>
            <w:vAlign w:val="top"/>
          </w:tcPr>
          <w:p>
            <w:pPr>
              <w:jc w:val="left"/>
            </w:pPr>
            <w:r>
              <w:rPr>
                <w:rFonts w:ascii="宋体" w:hAnsi="宋体" w:cs="宋体"/>
                <w:sz w:val="20"/>
              </w:rPr>
              <w:t>单位：长沙市青少年宫</w:t>
            </w:r>
          </w:p>
        </w:tc>
        <w:tc>
          <w:tcPr>
            <w:tcW w:w="2000" w:type="dxa"/>
            <w:noWrap w:val="0"/>
            <w:vAlign w:val="top"/>
          </w:tcPr>
          <w:p>
            <w:pPr>
              <w:jc w:val="center"/>
            </w:pPr>
            <w:r>
              <w:rPr>
                <w:rFonts w:ascii="宋体" w:hAnsi="宋体" w:cs="宋体"/>
                <w:sz w:val="20"/>
              </w:rPr>
              <w:t>2023年度</w:t>
            </w:r>
          </w:p>
        </w:tc>
        <w:tc>
          <w:tcPr>
            <w:tcW w:w="6699" w:type="dxa"/>
            <w:noWrap w:val="0"/>
            <w:vAlign w:val="top"/>
          </w:tcPr>
          <w:p>
            <w:pPr>
              <w:jc w:val="right"/>
            </w:pPr>
            <w:r>
              <w:rPr>
                <w:rFonts w:ascii="宋体" w:hAnsi="宋体" w:cs="宋体"/>
                <w:sz w:val="20"/>
              </w:rPr>
              <w:t>单位：万元</w:t>
            </w:r>
          </w:p>
        </w:tc>
      </w:tr>
    </w:tbl>
    <w:p>
      <w:pPr>
        <w:snapToGrid w:val="0"/>
        <w:spacing w:line="0" w:lineRule="auto"/>
      </w:pPr>
      <w:r>
        <w:rPr>
          <w:sz w:val="8"/>
        </w:rPr>
        <w:t xml:space="preserve"> </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40"/>
        <w:gridCol w:w="4040"/>
        <w:gridCol w:w="1720"/>
        <w:gridCol w:w="1720"/>
        <w:gridCol w:w="1720"/>
        <w:gridCol w:w="1720"/>
        <w:gridCol w:w="1720"/>
        <w:gridCol w:w="17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62" w:hRule="exact"/>
          <w:jc w:val="center"/>
        </w:trPr>
        <w:tc>
          <w:tcPr>
            <w:tcW w:w="34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项目</w:t>
            </w:r>
          </w:p>
        </w:tc>
        <w:tc>
          <w:tcPr>
            <w:tcW w:w="172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年初结转和结余</w:t>
            </w:r>
          </w:p>
        </w:tc>
        <w:tc>
          <w:tcPr>
            <w:tcW w:w="172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本年收入</w:t>
            </w:r>
          </w:p>
        </w:tc>
        <w:tc>
          <w:tcPr>
            <w:tcW w:w="172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本年支出</w:t>
            </w:r>
          </w:p>
        </w:tc>
        <w:tc>
          <w:tcPr>
            <w:tcW w:w="1738"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dxa"/>
          <w:wAfter w:w="0" w:type="dxa"/>
          <w:trHeight w:val="462" w:hRule="exact"/>
          <w:jc w:val="center"/>
        </w:trPr>
        <w:tc>
          <w:tcPr>
            <w:tcW w:w="34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科目代码</w:t>
            </w:r>
          </w:p>
        </w:tc>
        <w:tc>
          <w:tcPr>
            <w:tcW w:w="404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科目名称</w:t>
            </w:r>
          </w:p>
        </w:tc>
        <w:tc>
          <w:tcPr>
            <w:tcW w:w="172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2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小计</w:t>
            </w:r>
          </w:p>
        </w:tc>
        <w:tc>
          <w:tcPr>
            <w:tcW w:w="172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基本支出</w:t>
            </w:r>
          </w:p>
        </w:tc>
        <w:tc>
          <w:tcPr>
            <w:tcW w:w="172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项目支出</w:t>
            </w:r>
          </w:p>
        </w:tc>
        <w:tc>
          <w:tcPr>
            <w:tcW w:w="173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62" w:hRule="exact"/>
          <w:jc w:val="center"/>
        </w:trPr>
        <w:tc>
          <w:tcPr>
            <w:tcW w:w="340" w:type="dxa"/>
            <w:vMerge w:val="continue"/>
            <w:noWrap w:val="0"/>
            <w:vAlign w:val="center"/>
          </w:tcPr>
          <w:p>
            <w:pPr>
              <w:rPr>
                <w:rFonts w:hint="eastAsia" w:ascii="宋体" w:hAnsi="宋体" w:eastAsia="宋体" w:cs="宋体"/>
                <w:sz w:val="21"/>
                <w:szCs w:val="21"/>
              </w:rPr>
            </w:pPr>
          </w:p>
        </w:tc>
        <w:tc>
          <w:tcPr>
            <w:tcW w:w="404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3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dxa"/>
          <w:wAfter w:w="0" w:type="dxa"/>
          <w:trHeight w:val="462" w:hRule="exact"/>
          <w:jc w:val="center"/>
        </w:trPr>
        <w:tc>
          <w:tcPr>
            <w:tcW w:w="340" w:type="dxa"/>
            <w:vMerge w:val="continue"/>
            <w:noWrap w:val="0"/>
            <w:vAlign w:val="center"/>
          </w:tcPr>
          <w:p>
            <w:pPr>
              <w:rPr>
                <w:rFonts w:hint="eastAsia" w:ascii="宋体" w:hAnsi="宋体" w:eastAsia="宋体" w:cs="宋体"/>
                <w:sz w:val="21"/>
                <w:szCs w:val="21"/>
              </w:rPr>
            </w:pPr>
          </w:p>
        </w:tc>
        <w:tc>
          <w:tcPr>
            <w:tcW w:w="404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20" w:type="dxa"/>
            <w:vMerge w:val="continue"/>
            <w:noWrap w:val="0"/>
            <w:vAlign w:val="center"/>
          </w:tcPr>
          <w:p>
            <w:pPr>
              <w:rPr>
                <w:rFonts w:hint="eastAsia" w:ascii="宋体" w:hAnsi="宋体" w:eastAsia="宋体" w:cs="宋体"/>
                <w:sz w:val="21"/>
                <w:szCs w:val="21"/>
              </w:rPr>
            </w:pPr>
          </w:p>
        </w:tc>
        <w:tc>
          <w:tcPr>
            <w:tcW w:w="173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62" w:hRule="exact"/>
          <w:jc w:val="center"/>
        </w:trPr>
        <w:tc>
          <w:tcPr>
            <w:tcW w:w="34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栏次</w:t>
            </w:r>
          </w:p>
        </w:tc>
        <w:tc>
          <w:tcPr>
            <w:tcW w:w="17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7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7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7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172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738"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dxa"/>
          <w:wAfter w:w="0" w:type="dxa"/>
          <w:trHeight w:val="462" w:hRule="exact"/>
          <w:jc w:val="center"/>
        </w:trPr>
        <w:tc>
          <w:tcPr>
            <w:tcW w:w="340" w:type="dxa"/>
            <w:gridSpan w:val="2"/>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合计</w:t>
            </w:r>
          </w:p>
        </w:tc>
        <w:tc>
          <w:tcPr>
            <w:tcW w:w="172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c>
          <w:tcPr>
            <w:tcW w:w="172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c>
          <w:tcPr>
            <w:tcW w:w="172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c>
          <w:tcPr>
            <w:tcW w:w="172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c>
          <w:tcPr>
            <w:tcW w:w="1720"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c>
          <w:tcPr>
            <w:tcW w:w="1738" w:type="dxa"/>
            <w:noWrap w:val="0"/>
            <w:vAlign w:val="center"/>
          </w:tcPr>
          <w:p>
            <w:pPr>
              <w:jc w:val="right"/>
              <w:rPr>
                <w:rFonts w:hint="eastAsia" w:ascii="宋体" w:hAnsi="宋体" w:eastAsia="宋体" w:cs="宋体"/>
                <w:sz w:val="21"/>
                <w:szCs w:val="21"/>
              </w:rPr>
            </w:pPr>
            <w:r>
              <w:rPr>
                <w:rFonts w:hint="eastAsia" w:ascii="宋体" w:hAnsi="宋体" w:eastAsia="宋体" w:cs="宋体"/>
                <w:b/>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62" w:hRule="exact"/>
          <w:jc w:val="center"/>
        </w:trPr>
        <w:tc>
          <w:tcPr>
            <w:tcW w:w="340" w:type="dxa"/>
            <w:noWrap w:val="0"/>
            <w:vAlign w:val="center"/>
          </w:tcPr>
          <w:p>
            <w:pPr>
              <w:rPr>
                <w:rFonts w:hint="eastAsia" w:ascii="宋体" w:hAnsi="宋体" w:eastAsia="宋体" w:cs="宋体"/>
                <w:sz w:val="21"/>
                <w:szCs w:val="21"/>
              </w:rPr>
            </w:pPr>
          </w:p>
        </w:tc>
        <w:tc>
          <w:tcPr>
            <w:tcW w:w="4040" w:type="dxa"/>
            <w:noWrap w:val="0"/>
            <w:vAlign w:val="center"/>
          </w:tcPr>
          <w:p>
            <w:pPr>
              <w:rPr>
                <w:rFonts w:hint="eastAsia" w:ascii="宋体" w:hAnsi="宋体" w:eastAsia="宋体" w:cs="宋体"/>
                <w:sz w:val="21"/>
                <w:szCs w:val="21"/>
              </w:rPr>
            </w:pPr>
          </w:p>
        </w:tc>
        <w:tc>
          <w:tcPr>
            <w:tcW w:w="1720" w:type="dxa"/>
            <w:noWrap w:val="0"/>
            <w:vAlign w:val="center"/>
          </w:tcPr>
          <w:p>
            <w:pPr>
              <w:rPr>
                <w:rFonts w:hint="eastAsia" w:ascii="宋体" w:hAnsi="宋体" w:eastAsia="宋体" w:cs="宋体"/>
                <w:sz w:val="21"/>
                <w:szCs w:val="21"/>
              </w:rPr>
            </w:pPr>
          </w:p>
        </w:tc>
        <w:tc>
          <w:tcPr>
            <w:tcW w:w="1720" w:type="dxa"/>
            <w:noWrap w:val="0"/>
            <w:vAlign w:val="center"/>
          </w:tcPr>
          <w:p>
            <w:pPr>
              <w:rPr>
                <w:rFonts w:hint="eastAsia" w:ascii="宋体" w:hAnsi="宋体" w:eastAsia="宋体" w:cs="宋体"/>
                <w:sz w:val="21"/>
                <w:szCs w:val="21"/>
              </w:rPr>
            </w:pPr>
          </w:p>
        </w:tc>
        <w:tc>
          <w:tcPr>
            <w:tcW w:w="1720" w:type="dxa"/>
            <w:noWrap w:val="0"/>
            <w:vAlign w:val="center"/>
          </w:tcPr>
          <w:p>
            <w:pPr>
              <w:rPr>
                <w:rFonts w:hint="eastAsia" w:ascii="宋体" w:hAnsi="宋体" w:eastAsia="宋体" w:cs="宋体"/>
                <w:sz w:val="21"/>
                <w:szCs w:val="21"/>
              </w:rPr>
            </w:pPr>
          </w:p>
        </w:tc>
        <w:tc>
          <w:tcPr>
            <w:tcW w:w="1720" w:type="dxa"/>
            <w:noWrap w:val="0"/>
            <w:vAlign w:val="center"/>
          </w:tcPr>
          <w:p>
            <w:pPr>
              <w:rPr>
                <w:rFonts w:hint="eastAsia" w:ascii="宋体" w:hAnsi="宋体" w:eastAsia="宋体" w:cs="宋体"/>
                <w:sz w:val="21"/>
                <w:szCs w:val="21"/>
              </w:rPr>
            </w:pPr>
          </w:p>
        </w:tc>
        <w:tc>
          <w:tcPr>
            <w:tcW w:w="1720" w:type="dxa"/>
            <w:noWrap w:val="0"/>
            <w:vAlign w:val="center"/>
          </w:tcPr>
          <w:p>
            <w:pPr>
              <w:rPr>
                <w:rFonts w:hint="eastAsia" w:ascii="宋体" w:hAnsi="宋体" w:eastAsia="宋体" w:cs="宋体"/>
                <w:sz w:val="21"/>
                <w:szCs w:val="21"/>
              </w:rPr>
            </w:pPr>
          </w:p>
        </w:tc>
        <w:tc>
          <w:tcPr>
            <w:tcW w:w="1738" w:type="dxa"/>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dxa"/>
          <w:wAfter w:w="0" w:type="dxa"/>
          <w:trHeight w:val="462" w:hRule="exact"/>
          <w:jc w:val="center"/>
        </w:trPr>
        <w:tc>
          <w:tcPr>
            <w:tcW w:w="340" w:type="dxa"/>
            <w:gridSpan w:val="8"/>
            <w:tcBorders>
              <w:left w:val="single" w:color="FFFFFF" w:sz="4" w:space="0"/>
              <w:bottom w:val="single" w:color="FFFFFF" w:sz="4" w:space="0"/>
              <w:right w:val="single" w:color="FFFFFF"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注：本表反映部门本年度政府性基金预算财政拨款收入、支出及结转和结余情况。</w:t>
            </w:r>
          </w:p>
        </w:tc>
      </w:tr>
    </w:tbl>
    <w:p>
      <w:pPr>
        <w:snapToGrid w:val="0"/>
        <w:spacing w:before="200" w:after="200" w:line="200" w:lineRule="auto"/>
        <w:rPr>
          <w:rFonts w:hint="eastAsia" w:ascii="宋体" w:hAnsi="宋体" w:eastAsia="宋体" w:cs="宋体"/>
          <w:sz w:val="21"/>
          <w:szCs w:val="21"/>
        </w:rPr>
      </w:pPr>
      <w:r>
        <w:rPr>
          <w:rFonts w:hint="eastAsia" w:ascii="宋体" w:hAnsi="宋体" w:eastAsia="宋体" w:cs="宋体"/>
          <w:sz w:val="21"/>
          <w:szCs w:val="21"/>
        </w:rPr>
        <w:t xml:space="preserve"> </w:t>
      </w:r>
    </w:p>
    <w:p>
      <w:pPr>
        <w:widowControl/>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说明：我单位没有政府性基金收入，也没有使用政府性基金安排的支出，故本表无数据。</w:t>
      </w:r>
    </w:p>
    <w:p>
      <w:pPr>
        <w:rPr>
          <w:rFonts w:ascii="黑体" w:hAnsi="仿宋" w:eastAsia="黑体"/>
          <w:sz w:val="28"/>
          <w:szCs w:val="28"/>
        </w:rPr>
      </w:pPr>
      <w:r>
        <w:rPr>
          <w:rFonts w:hint="eastAsia" w:ascii="宋体" w:hAnsi="宋体" w:eastAsia="宋体" w:cs="宋体"/>
          <w:sz w:val="21"/>
          <w:szCs w:val="21"/>
        </w:rPr>
        <w:br w:type="page"/>
      </w:r>
    </w:p>
    <w:p>
      <w:pPr>
        <w:pStyle w:val="20"/>
        <w:rPr>
          <w:rFonts w:ascii="Times New Roman" w:hAnsi="Times New Roman" w:cs="Times New Roman"/>
          <w:sz w:val="22"/>
          <w:szCs w:val="22"/>
        </w:rPr>
      </w:pPr>
      <w:r>
        <w:rPr>
          <w:rFonts w:hint="eastAsia" w:ascii="黑体" w:hAnsi="仿宋" w:eastAsia="黑体"/>
          <w:sz w:val="28"/>
          <w:szCs w:val="28"/>
        </w:rPr>
        <w:t>八、国有资本经营预算财政拨款支出决算表</w:t>
      </w:r>
    </w:p>
    <w:p>
      <w:pPr>
        <w:pStyle w:val="8"/>
        <w:jc w:val="center"/>
        <w:rPr>
          <w:rFonts w:ascii="黑体" w:hAnsi="仿宋" w:eastAsia="黑体"/>
          <w:sz w:val="28"/>
          <w:szCs w:val="28"/>
          <w:lang w:eastAsia="zh-CN"/>
        </w:rPr>
      </w:pPr>
      <w:r>
        <w:rPr>
          <w:rFonts w:hint="eastAsia" w:ascii="黑体" w:hAnsi="仿宋" w:eastAsia="黑体"/>
          <w:sz w:val="28"/>
          <w:szCs w:val="28"/>
          <w:lang w:eastAsia="zh-CN"/>
        </w:rPr>
        <w:t>国有资本经营预算财政拨款支出决算表</w:t>
      </w:r>
    </w:p>
    <w:tbl>
      <w:tblPr>
        <w:tblStyle w:val="1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6699"/>
        <w:gridCol w:w="2000"/>
        <w:gridCol w:w="669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gridSpan w:val="3"/>
            <w:noWrap w:val="0"/>
            <w:vAlign w:val="top"/>
          </w:tcPr>
          <w:p>
            <w:pPr>
              <w:jc w:val="right"/>
            </w:pPr>
            <w:r>
              <w:rPr>
                <w:rFonts w:ascii="宋体" w:hAnsi="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noWrap w:val="0"/>
            <w:vAlign w:val="top"/>
          </w:tcPr>
          <w:p>
            <w:pPr>
              <w:jc w:val="left"/>
            </w:pPr>
            <w:r>
              <w:rPr>
                <w:rFonts w:ascii="宋体" w:hAnsi="宋体" w:cs="宋体"/>
                <w:sz w:val="20"/>
              </w:rPr>
              <w:t>单位：长沙市青少年宫</w:t>
            </w:r>
          </w:p>
        </w:tc>
        <w:tc>
          <w:tcPr>
            <w:tcW w:w="2000" w:type="dxa"/>
            <w:noWrap w:val="0"/>
            <w:vAlign w:val="top"/>
          </w:tcPr>
          <w:p>
            <w:pPr>
              <w:jc w:val="center"/>
            </w:pPr>
            <w:r>
              <w:rPr>
                <w:rFonts w:ascii="宋体" w:hAnsi="宋体" w:cs="宋体"/>
                <w:sz w:val="20"/>
              </w:rPr>
              <w:t>2023年度</w:t>
            </w:r>
          </w:p>
        </w:tc>
        <w:tc>
          <w:tcPr>
            <w:tcW w:w="6699" w:type="dxa"/>
            <w:noWrap w:val="0"/>
            <w:vAlign w:val="top"/>
          </w:tcPr>
          <w:p>
            <w:pPr>
              <w:jc w:val="right"/>
            </w:pPr>
            <w:r>
              <w:rPr>
                <w:rFonts w:ascii="宋体" w:hAnsi="宋体" w:cs="宋体"/>
                <w:sz w:val="20"/>
              </w:rPr>
              <w:t>单位：万元</w:t>
            </w:r>
          </w:p>
        </w:tc>
      </w:tr>
    </w:tbl>
    <w:p>
      <w:pPr>
        <w:snapToGrid w:val="0"/>
        <w:spacing w:line="0" w:lineRule="auto"/>
      </w:pPr>
      <w:r>
        <w:rPr>
          <w:sz w:val="8"/>
        </w:rPr>
        <w:t xml:space="preserve"> </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20"/>
        <w:gridCol w:w="6080"/>
        <w:gridCol w:w="2600"/>
        <w:gridCol w:w="2600"/>
        <w:gridCol w:w="25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696" w:hRule="exact"/>
          <w:jc w:val="center"/>
        </w:trPr>
        <w:tc>
          <w:tcPr>
            <w:tcW w:w="520" w:type="dxa"/>
            <w:gridSpan w:val="2"/>
            <w:noWrap w:val="0"/>
            <w:vAlign w:val="center"/>
          </w:tcPr>
          <w:p>
            <w:pPr>
              <w:jc w:val="center"/>
              <w:rPr>
                <w:sz w:val="21"/>
                <w:szCs w:val="21"/>
              </w:rPr>
            </w:pPr>
            <w:r>
              <w:rPr>
                <w:rFonts w:ascii="宋体" w:hAnsi="宋体" w:cs="宋体"/>
                <w:color w:val="000000"/>
                <w:sz w:val="21"/>
                <w:szCs w:val="21"/>
              </w:rPr>
              <w:t>项目</w:t>
            </w:r>
          </w:p>
        </w:tc>
        <w:tc>
          <w:tcPr>
            <w:tcW w:w="2600" w:type="dxa"/>
            <w:gridSpan w:val="3"/>
            <w:noWrap w:val="0"/>
            <w:vAlign w:val="center"/>
          </w:tcPr>
          <w:p>
            <w:pPr>
              <w:jc w:val="center"/>
              <w:rPr>
                <w:sz w:val="21"/>
                <w:szCs w:val="21"/>
              </w:rPr>
            </w:pPr>
            <w:r>
              <w:rPr>
                <w:rFonts w:ascii="宋体" w:hAnsi="宋体" w:cs="宋体"/>
                <w:color w:val="000000"/>
                <w:sz w:val="21"/>
                <w:szCs w:val="21"/>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696" w:hRule="exact"/>
          <w:jc w:val="center"/>
        </w:trPr>
        <w:tc>
          <w:tcPr>
            <w:tcW w:w="520" w:type="dxa"/>
            <w:vMerge w:val="restart"/>
            <w:noWrap w:val="0"/>
            <w:vAlign w:val="center"/>
          </w:tcPr>
          <w:p>
            <w:pPr>
              <w:jc w:val="center"/>
              <w:rPr>
                <w:sz w:val="21"/>
                <w:szCs w:val="21"/>
              </w:rPr>
            </w:pPr>
            <w:r>
              <w:rPr>
                <w:rFonts w:ascii="宋体" w:hAnsi="宋体" w:cs="宋体"/>
                <w:color w:val="000000"/>
                <w:sz w:val="21"/>
                <w:szCs w:val="21"/>
              </w:rPr>
              <w:t>科目代码</w:t>
            </w:r>
          </w:p>
        </w:tc>
        <w:tc>
          <w:tcPr>
            <w:tcW w:w="6080" w:type="dxa"/>
            <w:vMerge w:val="restart"/>
            <w:noWrap w:val="0"/>
            <w:vAlign w:val="center"/>
          </w:tcPr>
          <w:p>
            <w:pPr>
              <w:jc w:val="center"/>
              <w:rPr>
                <w:sz w:val="21"/>
                <w:szCs w:val="21"/>
              </w:rPr>
            </w:pPr>
            <w:r>
              <w:rPr>
                <w:rFonts w:ascii="宋体" w:hAnsi="宋体" w:cs="宋体"/>
                <w:color w:val="000000"/>
                <w:sz w:val="21"/>
                <w:szCs w:val="21"/>
              </w:rPr>
              <w:t>科目名称</w:t>
            </w:r>
          </w:p>
        </w:tc>
        <w:tc>
          <w:tcPr>
            <w:tcW w:w="2600" w:type="dxa"/>
            <w:vMerge w:val="restart"/>
            <w:noWrap w:val="0"/>
            <w:vAlign w:val="center"/>
          </w:tcPr>
          <w:p>
            <w:pPr>
              <w:jc w:val="center"/>
              <w:rPr>
                <w:sz w:val="21"/>
                <w:szCs w:val="21"/>
              </w:rPr>
            </w:pPr>
            <w:r>
              <w:rPr>
                <w:rFonts w:ascii="宋体" w:hAnsi="宋体" w:cs="宋体"/>
                <w:color w:val="000000"/>
                <w:sz w:val="21"/>
                <w:szCs w:val="21"/>
              </w:rPr>
              <w:t>合计</w:t>
            </w:r>
          </w:p>
        </w:tc>
        <w:tc>
          <w:tcPr>
            <w:tcW w:w="2600" w:type="dxa"/>
            <w:vMerge w:val="restart"/>
            <w:noWrap w:val="0"/>
            <w:vAlign w:val="center"/>
          </w:tcPr>
          <w:p>
            <w:pPr>
              <w:jc w:val="center"/>
              <w:rPr>
                <w:sz w:val="21"/>
                <w:szCs w:val="21"/>
              </w:rPr>
            </w:pPr>
            <w:r>
              <w:rPr>
                <w:rFonts w:ascii="宋体" w:hAnsi="宋体" w:cs="宋体"/>
                <w:color w:val="000000"/>
                <w:sz w:val="21"/>
                <w:szCs w:val="21"/>
              </w:rPr>
              <w:t>基本支出</w:t>
            </w:r>
          </w:p>
        </w:tc>
        <w:tc>
          <w:tcPr>
            <w:tcW w:w="2558" w:type="dxa"/>
            <w:vMerge w:val="restart"/>
            <w:noWrap w:val="0"/>
            <w:vAlign w:val="center"/>
          </w:tcPr>
          <w:p>
            <w:pPr>
              <w:jc w:val="center"/>
              <w:rPr>
                <w:sz w:val="21"/>
                <w:szCs w:val="21"/>
              </w:rPr>
            </w:pPr>
            <w:r>
              <w:rPr>
                <w:rFonts w:ascii="宋体" w:hAnsi="宋体" w:cs="宋体"/>
                <w:color w:val="000000"/>
                <w:sz w:val="21"/>
                <w:szCs w:val="21"/>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696" w:hRule="exact"/>
          <w:jc w:val="center"/>
        </w:trPr>
        <w:tc>
          <w:tcPr>
            <w:tcW w:w="520" w:type="dxa"/>
            <w:vMerge w:val="continue"/>
            <w:noWrap w:val="0"/>
            <w:vAlign w:val="center"/>
          </w:tcPr>
          <w:p>
            <w:pPr>
              <w:rPr>
                <w:sz w:val="21"/>
                <w:szCs w:val="21"/>
              </w:rPr>
            </w:pPr>
          </w:p>
        </w:tc>
        <w:tc>
          <w:tcPr>
            <w:tcW w:w="6080" w:type="dxa"/>
            <w:vMerge w:val="continue"/>
            <w:noWrap w:val="0"/>
            <w:vAlign w:val="center"/>
          </w:tcPr>
          <w:p>
            <w:pPr>
              <w:rPr>
                <w:sz w:val="21"/>
                <w:szCs w:val="21"/>
              </w:rPr>
            </w:pPr>
          </w:p>
        </w:tc>
        <w:tc>
          <w:tcPr>
            <w:tcW w:w="2600" w:type="dxa"/>
            <w:vMerge w:val="continue"/>
            <w:noWrap w:val="0"/>
            <w:vAlign w:val="center"/>
          </w:tcPr>
          <w:p>
            <w:pPr>
              <w:rPr>
                <w:sz w:val="21"/>
                <w:szCs w:val="21"/>
              </w:rPr>
            </w:pPr>
          </w:p>
        </w:tc>
        <w:tc>
          <w:tcPr>
            <w:tcW w:w="2600" w:type="dxa"/>
            <w:vMerge w:val="continue"/>
            <w:noWrap w:val="0"/>
            <w:vAlign w:val="center"/>
          </w:tcPr>
          <w:p>
            <w:pPr>
              <w:rPr>
                <w:sz w:val="21"/>
                <w:szCs w:val="21"/>
              </w:rPr>
            </w:pPr>
          </w:p>
        </w:tc>
        <w:tc>
          <w:tcPr>
            <w:tcW w:w="2558" w:type="dxa"/>
            <w:vMerge w:val="continue"/>
            <w:noWrap w:val="0"/>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312" w:hRule="exact"/>
          <w:jc w:val="center"/>
        </w:trPr>
        <w:tc>
          <w:tcPr>
            <w:tcW w:w="520" w:type="dxa"/>
            <w:vMerge w:val="continue"/>
            <w:noWrap w:val="0"/>
            <w:vAlign w:val="center"/>
          </w:tcPr>
          <w:p>
            <w:pPr>
              <w:rPr>
                <w:sz w:val="21"/>
                <w:szCs w:val="21"/>
              </w:rPr>
            </w:pPr>
          </w:p>
        </w:tc>
        <w:tc>
          <w:tcPr>
            <w:tcW w:w="6080" w:type="dxa"/>
            <w:vMerge w:val="continue"/>
            <w:noWrap w:val="0"/>
            <w:vAlign w:val="center"/>
          </w:tcPr>
          <w:p>
            <w:pPr>
              <w:rPr>
                <w:sz w:val="21"/>
                <w:szCs w:val="21"/>
              </w:rPr>
            </w:pPr>
          </w:p>
        </w:tc>
        <w:tc>
          <w:tcPr>
            <w:tcW w:w="2600" w:type="dxa"/>
            <w:vMerge w:val="continue"/>
            <w:noWrap w:val="0"/>
            <w:vAlign w:val="center"/>
          </w:tcPr>
          <w:p>
            <w:pPr>
              <w:rPr>
                <w:sz w:val="21"/>
                <w:szCs w:val="21"/>
              </w:rPr>
            </w:pPr>
          </w:p>
        </w:tc>
        <w:tc>
          <w:tcPr>
            <w:tcW w:w="2600" w:type="dxa"/>
            <w:vMerge w:val="continue"/>
            <w:noWrap w:val="0"/>
            <w:vAlign w:val="center"/>
          </w:tcPr>
          <w:p>
            <w:pPr>
              <w:rPr>
                <w:sz w:val="21"/>
                <w:szCs w:val="21"/>
              </w:rPr>
            </w:pPr>
          </w:p>
        </w:tc>
        <w:tc>
          <w:tcPr>
            <w:tcW w:w="2558" w:type="dxa"/>
            <w:vMerge w:val="continue"/>
            <w:noWrap w:val="0"/>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696" w:hRule="exact"/>
          <w:jc w:val="center"/>
        </w:trPr>
        <w:tc>
          <w:tcPr>
            <w:tcW w:w="520" w:type="dxa"/>
            <w:gridSpan w:val="2"/>
            <w:noWrap w:val="0"/>
            <w:vAlign w:val="center"/>
          </w:tcPr>
          <w:p>
            <w:pPr>
              <w:jc w:val="center"/>
              <w:rPr>
                <w:sz w:val="21"/>
                <w:szCs w:val="21"/>
              </w:rPr>
            </w:pPr>
            <w:r>
              <w:rPr>
                <w:rFonts w:ascii="宋体" w:hAnsi="宋体" w:cs="宋体"/>
                <w:color w:val="000000"/>
                <w:sz w:val="21"/>
                <w:szCs w:val="21"/>
              </w:rPr>
              <w:t>栏次</w:t>
            </w:r>
          </w:p>
        </w:tc>
        <w:tc>
          <w:tcPr>
            <w:tcW w:w="2600" w:type="dxa"/>
            <w:noWrap w:val="0"/>
            <w:vAlign w:val="center"/>
          </w:tcPr>
          <w:p>
            <w:pPr>
              <w:jc w:val="center"/>
              <w:rPr>
                <w:sz w:val="21"/>
                <w:szCs w:val="21"/>
              </w:rPr>
            </w:pPr>
            <w:r>
              <w:rPr>
                <w:rFonts w:ascii="宋体" w:hAnsi="宋体" w:cs="宋体"/>
                <w:color w:val="000000"/>
                <w:sz w:val="21"/>
                <w:szCs w:val="21"/>
              </w:rPr>
              <w:t>1</w:t>
            </w:r>
          </w:p>
        </w:tc>
        <w:tc>
          <w:tcPr>
            <w:tcW w:w="2600" w:type="dxa"/>
            <w:noWrap w:val="0"/>
            <w:vAlign w:val="center"/>
          </w:tcPr>
          <w:p>
            <w:pPr>
              <w:jc w:val="center"/>
              <w:rPr>
                <w:sz w:val="21"/>
                <w:szCs w:val="21"/>
              </w:rPr>
            </w:pPr>
            <w:r>
              <w:rPr>
                <w:rFonts w:ascii="宋体" w:hAnsi="宋体" w:cs="宋体"/>
                <w:color w:val="000000"/>
                <w:sz w:val="21"/>
                <w:szCs w:val="21"/>
              </w:rPr>
              <w:t>2</w:t>
            </w:r>
          </w:p>
        </w:tc>
        <w:tc>
          <w:tcPr>
            <w:tcW w:w="2558" w:type="dxa"/>
            <w:noWrap w:val="0"/>
            <w:vAlign w:val="center"/>
          </w:tcPr>
          <w:p>
            <w:pPr>
              <w:jc w:val="center"/>
              <w:rPr>
                <w:sz w:val="21"/>
                <w:szCs w:val="21"/>
              </w:rPr>
            </w:pPr>
            <w:r>
              <w:rPr>
                <w:rFonts w:ascii="宋体" w:hAnsi="宋体" w:cs="宋体"/>
                <w:color w:val="000000"/>
                <w:sz w:val="21"/>
                <w:szCs w:val="21"/>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696" w:hRule="exact"/>
          <w:jc w:val="center"/>
        </w:trPr>
        <w:tc>
          <w:tcPr>
            <w:tcW w:w="520" w:type="dxa"/>
            <w:gridSpan w:val="2"/>
            <w:noWrap w:val="0"/>
            <w:vAlign w:val="center"/>
          </w:tcPr>
          <w:p>
            <w:pPr>
              <w:jc w:val="center"/>
              <w:rPr>
                <w:sz w:val="21"/>
                <w:szCs w:val="21"/>
              </w:rPr>
            </w:pPr>
            <w:r>
              <w:rPr>
                <w:rFonts w:ascii="宋体" w:hAnsi="宋体" w:cs="宋体"/>
                <w:color w:val="000000"/>
                <w:sz w:val="21"/>
                <w:szCs w:val="21"/>
              </w:rPr>
              <w:t>合计</w:t>
            </w:r>
          </w:p>
        </w:tc>
        <w:tc>
          <w:tcPr>
            <w:tcW w:w="2600" w:type="dxa"/>
            <w:noWrap w:val="0"/>
            <w:vAlign w:val="center"/>
          </w:tcPr>
          <w:p>
            <w:pPr>
              <w:jc w:val="right"/>
              <w:rPr>
                <w:sz w:val="21"/>
                <w:szCs w:val="21"/>
              </w:rPr>
            </w:pPr>
            <w:r>
              <w:rPr>
                <w:rFonts w:ascii="宋体" w:hAnsi="宋体" w:cs="宋体"/>
                <w:b/>
                <w:color w:val="000000"/>
                <w:sz w:val="21"/>
                <w:szCs w:val="21"/>
              </w:rPr>
              <w:t>0.00</w:t>
            </w:r>
          </w:p>
        </w:tc>
        <w:tc>
          <w:tcPr>
            <w:tcW w:w="2600" w:type="dxa"/>
            <w:noWrap w:val="0"/>
            <w:vAlign w:val="center"/>
          </w:tcPr>
          <w:p>
            <w:pPr>
              <w:jc w:val="right"/>
              <w:rPr>
                <w:sz w:val="21"/>
                <w:szCs w:val="21"/>
              </w:rPr>
            </w:pPr>
            <w:r>
              <w:rPr>
                <w:rFonts w:ascii="宋体" w:hAnsi="宋体" w:cs="宋体"/>
                <w:b/>
                <w:color w:val="000000"/>
                <w:sz w:val="21"/>
                <w:szCs w:val="21"/>
              </w:rPr>
              <w:t>0.00</w:t>
            </w:r>
          </w:p>
        </w:tc>
        <w:tc>
          <w:tcPr>
            <w:tcW w:w="2558" w:type="dxa"/>
            <w:noWrap w:val="0"/>
            <w:vAlign w:val="center"/>
          </w:tcPr>
          <w:p>
            <w:pPr>
              <w:jc w:val="right"/>
              <w:rPr>
                <w:sz w:val="21"/>
                <w:szCs w:val="21"/>
              </w:rPr>
            </w:pPr>
            <w:r>
              <w:rPr>
                <w:rFonts w:ascii="宋体" w:hAnsi="宋体" w:cs="宋体"/>
                <w:b/>
                <w:color w:val="000000"/>
                <w:sz w:val="21"/>
                <w:szCs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696" w:hRule="exact"/>
          <w:jc w:val="center"/>
        </w:trPr>
        <w:tc>
          <w:tcPr>
            <w:tcW w:w="520" w:type="dxa"/>
            <w:noWrap w:val="0"/>
            <w:vAlign w:val="center"/>
          </w:tcPr>
          <w:p>
            <w:pPr>
              <w:rPr>
                <w:sz w:val="21"/>
                <w:szCs w:val="21"/>
              </w:rPr>
            </w:pPr>
          </w:p>
        </w:tc>
        <w:tc>
          <w:tcPr>
            <w:tcW w:w="6080" w:type="dxa"/>
            <w:noWrap w:val="0"/>
            <w:vAlign w:val="center"/>
          </w:tcPr>
          <w:p>
            <w:pPr>
              <w:rPr>
                <w:sz w:val="21"/>
                <w:szCs w:val="21"/>
              </w:rPr>
            </w:pPr>
          </w:p>
        </w:tc>
        <w:tc>
          <w:tcPr>
            <w:tcW w:w="2600" w:type="dxa"/>
            <w:noWrap w:val="0"/>
            <w:vAlign w:val="center"/>
          </w:tcPr>
          <w:p>
            <w:pPr>
              <w:rPr>
                <w:sz w:val="21"/>
                <w:szCs w:val="21"/>
              </w:rPr>
            </w:pPr>
          </w:p>
        </w:tc>
        <w:tc>
          <w:tcPr>
            <w:tcW w:w="2600" w:type="dxa"/>
            <w:noWrap w:val="0"/>
            <w:vAlign w:val="center"/>
          </w:tcPr>
          <w:p>
            <w:pPr>
              <w:rPr>
                <w:sz w:val="21"/>
                <w:szCs w:val="21"/>
              </w:rPr>
            </w:pPr>
          </w:p>
        </w:tc>
        <w:tc>
          <w:tcPr>
            <w:tcW w:w="2558" w:type="dxa"/>
            <w:noWrap w:val="0"/>
            <w:vAlign w:val="center"/>
          </w:tcPr>
          <w:p>
            <w:pPr>
              <w:rPr>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696" w:hRule="exact"/>
          <w:jc w:val="center"/>
        </w:trPr>
        <w:tc>
          <w:tcPr>
            <w:tcW w:w="520" w:type="dxa"/>
            <w:gridSpan w:val="5"/>
            <w:tcBorders>
              <w:left w:val="single" w:color="FFFFFF" w:sz="4" w:space="0"/>
              <w:bottom w:val="single" w:color="FFFFFF" w:sz="4" w:space="0"/>
              <w:right w:val="single" w:color="FFFFFF" w:sz="4" w:space="0"/>
            </w:tcBorders>
            <w:noWrap w:val="0"/>
            <w:vAlign w:val="center"/>
          </w:tcPr>
          <w:p>
            <w:pPr>
              <w:jc w:val="left"/>
              <w:rPr>
                <w:sz w:val="21"/>
                <w:szCs w:val="21"/>
              </w:rPr>
            </w:pPr>
            <w:r>
              <w:rPr>
                <w:rFonts w:ascii="宋体" w:hAnsi="宋体" w:cs="宋体"/>
                <w:color w:val="000000"/>
                <w:sz w:val="21"/>
                <w:szCs w:val="21"/>
              </w:rPr>
              <w:t>注：本表反映部门本年度国有资本经营预算财政拨款支出情况。</w:t>
            </w:r>
          </w:p>
        </w:tc>
      </w:tr>
    </w:tbl>
    <w:p>
      <w:pPr>
        <w:snapToGrid w:val="0"/>
        <w:spacing w:before="200" w:after="200" w:line="200" w:lineRule="auto"/>
        <w:rPr>
          <w:sz w:val="21"/>
          <w:szCs w:val="21"/>
        </w:rPr>
      </w:pPr>
      <w:r>
        <w:rPr>
          <w:sz w:val="21"/>
          <w:szCs w:val="21"/>
        </w:rPr>
        <w:t xml:space="preserve"> </w:t>
      </w:r>
    </w:p>
    <w:p>
      <w:pPr>
        <w:widowControl/>
        <w:ind w:firstLine="420" w:firstLineChars="200"/>
        <w:jc w:val="left"/>
        <w:rPr>
          <w:rFonts w:ascii="Times New Roman" w:hAnsi="Times New Roman" w:eastAsia="仿宋_GB2312" w:cs="Times New Roman"/>
          <w:kern w:val="0"/>
          <w:sz w:val="28"/>
          <w:szCs w:val="28"/>
        </w:rPr>
        <w:sectPr>
          <w:pgSz w:w="16838" w:h="11906" w:orient="landscape"/>
          <w:pgMar w:top="283" w:right="720" w:bottom="283" w:left="720" w:header="851" w:footer="992" w:gutter="0"/>
          <w:cols w:space="720" w:num="1"/>
          <w:docGrid w:type="linesAndChars" w:linePitch="321" w:charSpace="0"/>
        </w:sectPr>
      </w:pPr>
      <w:r>
        <w:rPr>
          <w:rFonts w:hint="eastAsia" w:ascii="Times New Roman" w:hAnsi="Times New Roman" w:eastAsia="仿宋_GB2312" w:cs="Times New Roman"/>
          <w:kern w:val="0"/>
          <w:sz w:val="21"/>
          <w:szCs w:val="21"/>
        </w:rPr>
        <w:t>说明：我单位没有使用国有资本经营预算安排的支出，故本表无数据。</w:t>
      </w:r>
    </w:p>
    <w:p>
      <w:pPr>
        <w:jc w:val="left"/>
        <w:rPr>
          <w:rFonts w:ascii="黑体" w:hAnsi="仿宋" w:eastAsia="黑体"/>
          <w:sz w:val="28"/>
          <w:szCs w:val="28"/>
        </w:rPr>
      </w:pPr>
      <w:r>
        <w:rPr>
          <w:rFonts w:hint="eastAsia" w:ascii="黑体" w:hAnsi="仿宋" w:eastAsia="黑体"/>
          <w:sz w:val="28"/>
          <w:szCs w:val="28"/>
        </w:rPr>
        <w:t xml:space="preserve">九、财政拨款“三公”经费支出决算表 </w:t>
      </w:r>
    </w:p>
    <w:p>
      <w:pPr>
        <w:jc w:val="center"/>
        <w:rPr>
          <w:rFonts w:ascii="黑体" w:hAnsi="仿宋" w:eastAsia="黑体"/>
          <w:sz w:val="28"/>
          <w:szCs w:val="28"/>
        </w:rPr>
      </w:pPr>
      <w:r>
        <w:rPr>
          <w:rFonts w:hint="eastAsia" w:ascii="黑体" w:hAnsi="仿宋" w:eastAsia="黑体"/>
          <w:sz w:val="28"/>
          <w:szCs w:val="28"/>
        </w:rPr>
        <w:t>财政拨款“三公”经费支出决算表</w:t>
      </w:r>
    </w:p>
    <w:tbl>
      <w:tblPr>
        <w:tblStyle w:val="16"/>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6699"/>
        <w:gridCol w:w="2000"/>
        <w:gridCol w:w="669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gridSpan w:val="3"/>
            <w:noWrap w:val="0"/>
            <w:vAlign w:val="top"/>
          </w:tcPr>
          <w:p>
            <w:pPr>
              <w:jc w:val="right"/>
            </w:pPr>
            <w:r>
              <w:rPr>
                <w:rFonts w:ascii="宋体" w:hAnsi="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wBefore w:w="0" w:type="dxa"/>
          <w:wAfter w:w="0" w:type="dxa"/>
          <w:jc w:val="center"/>
        </w:trPr>
        <w:tc>
          <w:tcPr>
            <w:tcW w:w="6699" w:type="dxa"/>
            <w:noWrap w:val="0"/>
            <w:vAlign w:val="top"/>
          </w:tcPr>
          <w:p>
            <w:pPr>
              <w:jc w:val="left"/>
            </w:pPr>
            <w:r>
              <w:rPr>
                <w:rFonts w:ascii="宋体" w:hAnsi="宋体" w:cs="宋体"/>
                <w:sz w:val="20"/>
              </w:rPr>
              <w:t>单位：长沙市青少年宫</w:t>
            </w:r>
          </w:p>
        </w:tc>
        <w:tc>
          <w:tcPr>
            <w:tcW w:w="2000" w:type="dxa"/>
            <w:noWrap w:val="0"/>
            <w:vAlign w:val="top"/>
          </w:tcPr>
          <w:p>
            <w:pPr>
              <w:jc w:val="center"/>
            </w:pPr>
            <w:r>
              <w:rPr>
                <w:rFonts w:ascii="宋体" w:hAnsi="宋体" w:cs="宋体"/>
                <w:sz w:val="20"/>
              </w:rPr>
              <w:t>2023年度</w:t>
            </w:r>
          </w:p>
        </w:tc>
        <w:tc>
          <w:tcPr>
            <w:tcW w:w="6699" w:type="dxa"/>
            <w:noWrap w:val="0"/>
            <w:vAlign w:val="top"/>
          </w:tcPr>
          <w:p>
            <w:pPr>
              <w:jc w:val="right"/>
            </w:pPr>
            <w:r>
              <w:rPr>
                <w:rFonts w:ascii="宋体" w:hAnsi="宋体" w:cs="宋体"/>
                <w:sz w:val="20"/>
              </w:rPr>
              <w:t>单位：万元</w:t>
            </w:r>
          </w:p>
        </w:tc>
      </w:tr>
    </w:tbl>
    <w:p>
      <w:pPr>
        <w:snapToGrid w:val="0"/>
        <w:spacing w:line="0" w:lineRule="auto"/>
      </w:pPr>
      <w:r>
        <w:rPr>
          <w:sz w:val="8"/>
        </w:rPr>
        <w:t xml:space="preserve"> </w:t>
      </w:r>
    </w:p>
    <w:tbl>
      <w:tblPr>
        <w:tblStyle w:val="1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80"/>
        <w:gridCol w:w="1280"/>
        <w:gridCol w:w="1280"/>
        <w:gridCol w:w="1280"/>
        <w:gridCol w:w="1280"/>
        <w:gridCol w:w="1280"/>
        <w:gridCol w:w="1280"/>
        <w:gridCol w:w="1280"/>
        <w:gridCol w:w="1280"/>
        <w:gridCol w:w="1280"/>
        <w:gridCol w:w="1280"/>
        <w:gridCol w:w="13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0" w:hRule="exact"/>
          <w:jc w:val="center"/>
        </w:trPr>
        <w:tc>
          <w:tcPr>
            <w:tcW w:w="1280" w:type="dxa"/>
            <w:gridSpan w:val="6"/>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预算数</w:t>
            </w:r>
          </w:p>
        </w:tc>
        <w:tc>
          <w:tcPr>
            <w:tcW w:w="1280" w:type="dxa"/>
            <w:gridSpan w:val="6"/>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0" w:hRule="exact"/>
          <w:jc w:val="center"/>
        </w:trPr>
        <w:tc>
          <w:tcPr>
            <w:tcW w:w="12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合计</w:t>
            </w:r>
          </w:p>
        </w:tc>
        <w:tc>
          <w:tcPr>
            <w:tcW w:w="12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因公出国（境）费</w:t>
            </w:r>
          </w:p>
        </w:tc>
        <w:tc>
          <w:tcPr>
            <w:tcW w:w="128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公务用车购置及运行维护费</w:t>
            </w:r>
          </w:p>
        </w:tc>
        <w:tc>
          <w:tcPr>
            <w:tcW w:w="12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公务接待费</w:t>
            </w:r>
          </w:p>
        </w:tc>
        <w:tc>
          <w:tcPr>
            <w:tcW w:w="12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合计</w:t>
            </w:r>
          </w:p>
        </w:tc>
        <w:tc>
          <w:tcPr>
            <w:tcW w:w="1280"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因公出国（境）费</w:t>
            </w:r>
          </w:p>
        </w:tc>
        <w:tc>
          <w:tcPr>
            <w:tcW w:w="1280" w:type="dxa"/>
            <w:gridSpan w:val="3"/>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公务用车购置及运行维护费</w:t>
            </w:r>
          </w:p>
        </w:tc>
        <w:tc>
          <w:tcPr>
            <w:tcW w:w="1318"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819" w:hRule="exact"/>
          <w:jc w:val="center"/>
        </w:trPr>
        <w:tc>
          <w:tcPr>
            <w:tcW w:w="1280" w:type="dxa"/>
            <w:vMerge w:val="continue"/>
            <w:noWrap w:val="0"/>
            <w:vAlign w:val="center"/>
          </w:tcPr>
          <w:p>
            <w:pPr>
              <w:rPr>
                <w:rFonts w:hint="eastAsia" w:ascii="宋体" w:hAnsi="宋体" w:eastAsia="宋体" w:cs="宋体"/>
                <w:sz w:val="21"/>
                <w:szCs w:val="21"/>
              </w:rPr>
            </w:pPr>
          </w:p>
        </w:tc>
        <w:tc>
          <w:tcPr>
            <w:tcW w:w="1280" w:type="dxa"/>
            <w:vMerge w:val="continue"/>
            <w:noWrap w:val="0"/>
            <w:vAlign w:val="center"/>
          </w:tcPr>
          <w:p>
            <w:pPr>
              <w:rPr>
                <w:rFonts w:hint="eastAsia" w:ascii="宋体" w:hAnsi="宋体" w:eastAsia="宋体" w:cs="宋体"/>
                <w:sz w:val="21"/>
                <w:szCs w:val="21"/>
              </w:rPr>
            </w:pP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小计</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公务用车购置费</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公务用车运行维护费</w:t>
            </w:r>
          </w:p>
        </w:tc>
        <w:tc>
          <w:tcPr>
            <w:tcW w:w="1280" w:type="dxa"/>
            <w:vMerge w:val="continue"/>
            <w:noWrap w:val="0"/>
            <w:vAlign w:val="center"/>
          </w:tcPr>
          <w:p>
            <w:pPr>
              <w:rPr>
                <w:rFonts w:hint="eastAsia" w:ascii="宋体" w:hAnsi="宋体" w:eastAsia="宋体" w:cs="宋体"/>
                <w:sz w:val="21"/>
                <w:szCs w:val="21"/>
              </w:rPr>
            </w:pPr>
          </w:p>
        </w:tc>
        <w:tc>
          <w:tcPr>
            <w:tcW w:w="1280" w:type="dxa"/>
            <w:vMerge w:val="continue"/>
            <w:noWrap w:val="0"/>
            <w:vAlign w:val="center"/>
          </w:tcPr>
          <w:p>
            <w:pPr>
              <w:rPr>
                <w:rFonts w:hint="eastAsia" w:ascii="宋体" w:hAnsi="宋体" w:eastAsia="宋体" w:cs="宋体"/>
                <w:sz w:val="21"/>
                <w:szCs w:val="21"/>
              </w:rPr>
            </w:pPr>
          </w:p>
        </w:tc>
        <w:tc>
          <w:tcPr>
            <w:tcW w:w="1280" w:type="dxa"/>
            <w:vMerge w:val="continue"/>
            <w:noWrap w:val="0"/>
            <w:vAlign w:val="center"/>
          </w:tcPr>
          <w:p>
            <w:pPr>
              <w:rPr>
                <w:rFonts w:hint="eastAsia" w:ascii="宋体" w:hAnsi="宋体" w:eastAsia="宋体" w:cs="宋体"/>
                <w:sz w:val="21"/>
                <w:szCs w:val="21"/>
              </w:rPr>
            </w:pP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小计</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公务用车购置费</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公务用车运行维护费</w:t>
            </w:r>
          </w:p>
        </w:tc>
        <w:tc>
          <w:tcPr>
            <w:tcW w:w="1318" w:type="dxa"/>
            <w:vMerge w:val="continue"/>
            <w:noWrap w:val="0"/>
            <w:vAlign w:val="center"/>
          </w:tcPr>
          <w:p>
            <w:pPr>
              <w:rPr>
                <w:rFonts w:hint="eastAsia" w:ascii="宋体" w:hAnsi="宋体" w:eastAsia="宋体" w:cs="宋体"/>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wBefore w:w="0" w:type="dxa"/>
          <w:wAfter w:w="0" w:type="dxa"/>
          <w:trHeight w:val="410" w:hRule="exact"/>
          <w:jc w:val="center"/>
        </w:trPr>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2</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3</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4</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5</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6</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7</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8</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9</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10</w:t>
            </w:r>
          </w:p>
        </w:tc>
        <w:tc>
          <w:tcPr>
            <w:tcW w:w="1280"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11</w:t>
            </w:r>
          </w:p>
        </w:tc>
        <w:tc>
          <w:tcPr>
            <w:tcW w:w="1318" w:type="dxa"/>
            <w:noWrap w:val="0"/>
            <w:vAlign w:val="center"/>
          </w:tcPr>
          <w:p>
            <w:pPr>
              <w:jc w:val="center"/>
              <w:rPr>
                <w:rFonts w:hint="eastAsia" w:ascii="宋体" w:hAnsi="宋体" w:eastAsia="宋体" w:cs="宋体"/>
                <w:sz w:val="21"/>
                <w:szCs w:val="21"/>
              </w:rPr>
            </w:pPr>
            <w:r>
              <w:rPr>
                <w:rFonts w:hint="eastAsia" w:ascii="宋体" w:hAnsi="宋体" w:eastAsia="宋体" w:cs="宋体"/>
                <w:color w:val="000000"/>
                <w:sz w:val="21"/>
                <w:szCs w:val="21"/>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410" w:hRule="exact"/>
          <w:jc w:val="center"/>
        </w:trPr>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4.00</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3.00</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3.00</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1.00</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3.32</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2.97</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0.00</w:t>
            </w:r>
          </w:p>
        </w:tc>
        <w:tc>
          <w:tcPr>
            <w:tcW w:w="1280"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2.97</w:t>
            </w:r>
          </w:p>
        </w:tc>
        <w:tc>
          <w:tcPr>
            <w:tcW w:w="1318" w:type="dxa"/>
            <w:noWrap w:val="0"/>
            <w:vAlign w:val="center"/>
          </w:tcPr>
          <w:p>
            <w:pPr>
              <w:jc w:val="right"/>
              <w:rPr>
                <w:rFonts w:hint="eastAsia" w:ascii="宋体" w:hAnsi="宋体" w:eastAsia="宋体" w:cs="宋体"/>
                <w:sz w:val="21"/>
                <w:szCs w:val="21"/>
              </w:rPr>
            </w:pPr>
            <w:r>
              <w:rPr>
                <w:rFonts w:hint="eastAsia" w:ascii="宋体" w:hAnsi="宋体" w:eastAsia="宋体" w:cs="宋体"/>
                <w:color w:val="000000"/>
                <w:sz w:val="21"/>
                <w:szCs w:val="21"/>
              </w:rPr>
              <w:t>0.35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wBefore w:w="0" w:type="dxa"/>
          <w:wAfter w:w="0" w:type="dxa"/>
          <w:trHeight w:val="819" w:hRule="exact"/>
          <w:jc w:val="center"/>
        </w:trPr>
        <w:tc>
          <w:tcPr>
            <w:tcW w:w="1280" w:type="dxa"/>
            <w:gridSpan w:val="12"/>
            <w:tcBorders>
              <w:left w:val="single" w:color="FFFFFF" w:sz="4" w:space="0"/>
              <w:bottom w:val="single" w:color="FFFFFF" w:sz="4" w:space="0"/>
              <w:right w:val="single" w:color="FFFFFF" w:sz="4" w:space="0"/>
            </w:tcBorders>
            <w:noWrap w:val="0"/>
            <w:vAlign w:val="center"/>
          </w:tcPr>
          <w:p>
            <w:pPr>
              <w:jc w:val="left"/>
              <w:rPr>
                <w:rFonts w:hint="eastAsia" w:ascii="宋体" w:hAnsi="宋体" w:eastAsia="宋体" w:cs="宋体"/>
                <w:sz w:val="21"/>
                <w:szCs w:val="21"/>
              </w:rPr>
            </w:pPr>
            <w:r>
              <w:rPr>
                <w:rFonts w:hint="eastAsia" w:ascii="宋体" w:hAnsi="宋体" w:eastAsia="宋体" w:cs="宋体"/>
                <w:color w:val="000000"/>
                <w:sz w:val="21"/>
                <w:szCs w:val="21"/>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snapToGrid w:val="0"/>
        <w:spacing w:before="200" w:after="200" w:line="200" w:lineRule="auto"/>
      </w:pPr>
      <w:r>
        <w:rPr>
          <w:rFonts w:hint="eastAsia" w:ascii="宋体" w:hAnsi="宋体" w:eastAsia="宋体" w:cs="宋体"/>
          <w:sz w:val="21"/>
          <w:szCs w:val="21"/>
        </w:rPr>
        <w:t xml:space="preserve"> </w:t>
      </w:r>
    </w:p>
    <w:p>
      <w:pPr>
        <w:rPr>
          <w:sz w:val="20"/>
          <w:szCs w:val="22"/>
        </w:rPr>
        <w:sectPr>
          <w:pgSz w:w="16838" w:h="11906" w:orient="landscape"/>
          <w:pgMar w:top="283" w:right="720" w:bottom="283" w:left="720" w:header="851" w:footer="992" w:gutter="0"/>
          <w:cols w:space="720" w:num="1"/>
          <w:docGrid w:type="linesAndChars" w:linePitch="321" w:charSpace="0"/>
        </w:sectPr>
      </w:pPr>
    </w:p>
    <w:p>
      <w:pPr>
        <w:pStyle w:val="20"/>
        <w:jc w:val="center"/>
        <w:rPr>
          <w:rFonts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pPr>
    </w:p>
    <w:p>
      <w:pPr>
        <w:pStyle w:val="20"/>
        <w:jc w:val="both"/>
        <w:rPr>
          <w:rFonts w:ascii="方正小标宋_GBK" w:hAnsi="方正小标宋_GBK" w:eastAsia="方正小标宋_GBK" w:cs="方正小标宋_GBK"/>
          <w:sz w:val="56"/>
          <w:szCs w:val="56"/>
        </w:rPr>
      </w:pPr>
    </w:p>
    <w:p>
      <w:pPr>
        <w:pStyle w:val="20"/>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第三部分</w:t>
      </w:r>
    </w:p>
    <w:p>
      <w:pPr>
        <w:pStyle w:val="20"/>
        <w:jc w:val="center"/>
        <w:rPr>
          <w:rFonts w:hint="eastAsia"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2023年度部门决算情况说明</w:t>
      </w:r>
    </w:p>
    <w:p>
      <w:pPr>
        <w:spacing w:before="156" w:beforeLines="50" w:line="580" w:lineRule="exact"/>
        <w:ind w:firstLine="156" w:firstLineChars="49"/>
        <w:jc w:val="center"/>
        <w:outlineLvl w:val="1"/>
        <w:rPr>
          <w:rFonts w:ascii="Times New Roman" w:hAnsi="Times New Roman" w:eastAsia="黑体" w:cs="Times New Roman"/>
          <w:kern w:val="0"/>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pStyle w:val="20"/>
        <w:keepLines w:val="0"/>
        <w:pageBreakBefore w:val="0"/>
        <w:kinsoku/>
        <w:wordWrap/>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一、收入支出决算总体情况说明</w:t>
      </w:r>
    </w:p>
    <w:p>
      <w:pPr>
        <w:keepLines w:val="0"/>
        <w:pageBreakBefore w:val="0"/>
        <w:kinsoku/>
        <w:wordWrap/>
        <w:overflowPunct/>
        <w:topLinePunct w:val="0"/>
        <w:bidi w:val="0"/>
        <w:spacing w:line="560" w:lineRule="exact"/>
        <w:ind w:firstLine="611" w:firstLineChars="19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2023年度收、支总计</w:t>
      </w:r>
      <w:r>
        <w:rPr>
          <w:rFonts w:hint="eastAsia" w:ascii="Times New Roman" w:hAnsi="Times New Roman" w:eastAsia="仿宋_GB2312" w:cs="Times New Roman"/>
          <w:kern w:val="0"/>
          <w:sz w:val="32"/>
          <w:szCs w:val="32"/>
        </w:rPr>
        <w:t>5351.47万</w:t>
      </w:r>
      <w:r>
        <w:rPr>
          <w:rFonts w:ascii="Times New Roman" w:hAnsi="Times New Roman" w:eastAsia="仿宋_GB2312" w:cs="Times New Roman"/>
          <w:kern w:val="0"/>
          <w:sz w:val="32"/>
          <w:szCs w:val="32"/>
        </w:rPr>
        <w:t>元。与</w:t>
      </w:r>
      <w:r>
        <w:rPr>
          <w:rFonts w:hint="eastAsia" w:ascii="Times New Roman" w:hAnsi="Times New Roman" w:eastAsia="仿宋_GB2312" w:cs="Times New Roman"/>
          <w:kern w:val="0"/>
          <w:sz w:val="32"/>
          <w:szCs w:val="32"/>
        </w:rPr>
        <w:t>上</w:t>
      </w:r>
      <w:r>
        <w:rPr>
          <w:rFonts w:ascii="Times New Roman" w:hAnsi="Times New Roman" w:eastAsia="仿宋_GB2312" w:cs="Times New Roman"/>
          <w:kern w:val="0"/>
          <w:sz w:val="32"/>
          <w:szCs w:val="32"/>
        </w:rPr>
        <w:t>年相比，</w:t>
      </w:r>
      <w:r>
        <w:rPr>
          <w:rFonts w:hint="eastAsia" w:ascii="Times New Roman" w:hAnsi="Times New Roman" w:eastAsia="仿宋_GB2312" w:cs="Times New Roman"/>
          <w:kern w:val="0"/>
          <w:sz w:val="32"/>
          <w:szCs w:val="32"/>
        </w:rPr>
        <w:t>增加687.12万元，增长14.73 %。</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疫情影响减少，长沙市青少年宫全面对外运营，培训、活动、场馆运行支出增加，且新增新长沙市青少年宫后续建设项目剩余款项目。</w:t>
      </w:r>
    </w:p>
    <w:p>
      <w:pPr>
        <w:pStyle w:val="20"/>
        <w:keepLines w:val="0"/>
        <w:pageBreakBefore w:val="0"/>
        <w:kinsoku/>
        <w:wordWrap/>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二、收入决算情况说明</w:t>
      </w:r>
    </w:p>
    <w:p>
      <w:pPr>
        <w:pStyle w:val="20"/>
        <w:keepLines w:val="0"/>
        <w:pageBreakBefore w:val="0"/>
        <w:kinsoku/>
        <w:wordWrap/>
        <w:overflowPunct/>
        <w:topLinePunct w:val="0"/>
        <w:bidi w:val="0"/>
        <w:spacing w:line="560" w:lineRule="exact"/>
        <w:ind w:firstLine="745" w:firstLineChars="233"/>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2023年度收入合计</w:t>
      </w:r>
      <w:r>
        <w:rPr>
          <w:rFonts w:hint="eastAsia" w:ascii="Times New Roman" w:hAnsi="Times New Roman" w:eastAsia="仿宋_GB2312" w:cs="Times New Roman"/>
          <w:color w:val="auto"/>
          <w:sz w:val="32"/>
          <w:szCs w:val="32"/>
        </w:rPr>
        <w:t>5351.47万</w:t>
      </w:r>
      <w:r>
        <w:rPr>
          <w:rFonts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其中：财政拨款收入</w:t>
      </w:r>
      <w:r>
        <w:rPr>
          <w:rFonts w:hint="eastAsia" w:ascii="Times New Roman" w:hAnsi="Times New Roman" w:eastAsia="仿宋_GB2312" w:cs="Times New Roman"/>
          <w:color w:val="auto"/>
          <w:sz w:val="32"/>
          <w:szCs w:val="32"/>
        </w:rPr>
        <w:t>5351.47万</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100.00</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rPr>
        <w:t>0.00万</w:t>
      </w:r>
      <w:r>
        <w:rPr>
          <w:rFonts w:ascii="Times New Roman" w:hAnsi="Times New Roman" w:eastAsia="仿宋_GB2312" w:cs="Times New Roman"/>
          <w:color w:val="auto"/>
          <w:sz w:val="32"/>
          <w:szCs w:val="32"/>
        </w:rPr>
        <w:t xml:space="preserve">元，占 </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%；事业收入</w:t>
      </w:r>
      <w:r>
        <w:rPr>
          <w:rFonts w:hint="eastAsia" w:ascii="Times New Roman" w:hAnsi="Times New Roman" w:eastAsia="仿宋_GB2312" w:cs="Times New Roman"/>
          <w:color w:val="auto"/>
          <w:sz w:val="32"/>
          <w:szCs w:val="32"/>
        </w:rPr>
        <w:t>0.00万</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%；经营收入</w:t>
      </w:r>
      <w:r>
        <w:rPr>
          <w:rFonts w:hint="eastAsia" w:ascii="Times New Roman" w:hAnsi="Times New Roman" w:eastAsia="仿宋_GB2312" w:cs="Times New Roman"/>
          <w:color w:val="auto"/>
          <w:sz w:val="32"/>
          <w:szCs w:val="32"/>
        </w:rPr>
        <w:t>0.00万</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%；附属单位上缴收入</w:t>
      </w:r>
      <w:r>
        <w:rPr>
          <w:rFonts w:hint="eastAsia" w:ascii="Times New Roman" w:hAnsi="Times New Roman" w:eastAsia="仿宋_GB2312" w:cs="Times New Roman"/>
          <w:color w:val="auto"/>
          <w:sz w:val="32"/>
          <w:szCs w:val="32"/>
        </w:rPr>
        <w:t>0.00万</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%；其他收入</w:t>
      </w:r>
      <w:r>
        <w:rPr>
          <w:rFonts w:hint="eastAsia" w:ascii="Times New Roman" w:hAnsi="Times New Roman" w:eastAsia="仿宋_GB2312" w:cs="Times New Roman"/>
          <w:color w:val="auto"/>
          <w:sz w:val="32"/>
          <w:szCs w:val="32"/>
        </w:rPr>
        <w:t>0.00万</w:t>
      </w:r>
      <w:r>
        <w:rPr>
          <w:rFonts w:ascii="Times New Roman" w:hAnsi="Times New Roman" w:eastAsia="仿宋_GB2312" w:cs="Times New Roman"/>
          <w:color w:val="auto"/>
          <w:sz w:val="32"/>
          <w:szCs w:val="32"/>
        </w:rPr>
        <w:t>元，占</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w:t>
      </w:r>
    </w:p>
    <w:p>
      <w:pPr>
        <w:pStyle w:val="20"/>
        <w:keepLines w:val="0"/>
        <w:pageBreakBefore w:val="0"/>
        <w:kinsoku/>
        <w:wordWrap/>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三、支出决算情况说明</w:t>
      </w:r>
    </w:p>
    <w:p>
      <w:pPr>
        <w:keepLines w:val="0"/>
        <w:pageBreakBefore w:val="0"/>
        <w:kinsoku/>
        <w:wordWrap/>
        <w:overflowPunct/>
        <w:topLinePunct w:val="0"/>
        <w:bidi w:val="0"/>
        <w:spacing w:line="560" w:lineRule="exact"/>
        <w:ind w:firstLine="611" w:firstLineChars="19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2023年度支出合计</w:t>
      </w:r>
      <w:r>
        <w:rPr>
          <w:rFonts w:hint="eastAsia" w:ascii="Times New Roman" w:hAnsi="Times New Roman" w:eastAsia="仿宋_GB2312" w:cs="Times New Roman"/>
          <w:kern w:val="0"/>
          <w:sz w:val="32"/>
          <w:szCs w:val="32"/>
        </w:rPr>
        <w:t>5351.47万</w:t>
      </w:r>
      <w:r>
        <w:rPr>
          <w:rFonts w:ascii="Times New Roman" w:hAnsi="Times New Roman" w:eastAsia="仿宋_GB2312" w:cs="Times New Roman"/>
          <w:kern w:val="0"/>
          <w:sz w:val="32"/>
          <w:szCs w:val="32"/>
        </w:rPr>
        <w:t>元，其中：基本支出</w:t>
      </w:r>
      <w:r>
        <w:rPr>
          <w:rFonts w:hint="eastAsia" w:ascii="Times New Roman" w:hAnsi="Times New Roman" w:eastAsia="仿宋_GB2312" w:cs="Times New Roman"/>
          <w:kern w:val="0"/>
          <w:sz w:val="32"/>
          <w:szCs w:val="32"/>
        </w:rPr>
        <w:t>1921.18万</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35.90</w:t>
      </w:r>
      <w:r>
        <w:rPr>
          <w:rFonts w:ascii="Times New Roman" w:hAnsi="Times New Roman" w:eastAsia="仿宋_GB2312" w:cs="Times New Roman"/>
          <w:kern w:val="0"/>
          <w:sz w:val="32"/>
          <w:szCs w:val="32"/>
        </w:rPr>
        <w:t>%；项目支出</w:t>
      </w:r>
      <w:r>
        <w:rPr>
          <w:rFonts w:hint="eastAsia" w:ascii="Times New Roman" w:hAnsi="Times New Roman" w:eastAsia="仿宋_GB2312" w:cs="Times New Roman"/>
          <w:kern w:val="0"/>
          <w:sz w:val="32"/>
          <w:szCs w:val="32"/>
        </w:rPr>
        <w:t>3430.29万</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64.10</w:t>
      </w:r>
      <w:r>
        <w:rPr>
          <w:rFonts w:ascii="Times New Roman" w:hAnsi="Times New Roman" w:eastAsia="仿宋_GB2312" w:cs="Times New Roman"/>
          <w:kern w:val="0"/>
          <w:sz w:val="32"/>
          <w:szCs w:val="32"/>
        </w:rPr>
        <w:t>%；上缴上级支出</w:t>
      </w:r>
      <w:r>
        <w:rPr>
          <w:rFonts w:hint="eastAsia" w:ascii="Times New Roman" w:hAnsi="Times New Roman" w:eastAsia="仿宋_GB2312" w:cs="Times New Roman"/>
          <w:kern w:val="0"/>
          <w:sz w:val="32"/>
          <w:szCs w:val="32"/>
        </w:rPr>
        <w:t>0.00万</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%；经营支出</w:t>
      </w:r>
      <w:r>
        <w:rPr>
          <w:rFonts w:hint="eastAsia" w:ascii="Times New Roman" w:hAnsi="Times New Roman" w:eastAsia="仿宋_GB2312" w:cs="Times New Roman"/>
          <w:kern w:val="0"/>
          <w:sz w:val="32"/>
          <w:szCs w:val="32"/>
        </w:rPr>
        <w:t>0.00万</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 对附属单位补助支出</w:t>
      </w:r>
      <w:r>
        <w:rPr>
          <w:rFonts w:hint="eastAsia" w:ascii="Times New Roman" w:hAnsi="Times New Roman" w:eastAsia="仿宋_GB2312" w:cs="Times New Roman"/>
          <w:kern w:val="0"/>
          <w:sz w:val="32"/>
          <w:szCs w:val="32"/>
        </w:rPr>
        <w:t>0.00万</w:t>
      </w:r>
      <w:r>
        <w:rPr>
          <w:rFonts w:ascii="Times New Roman" w:hAnsi="Times New Roman" w:eastAsia="仿宋_GB2312" w:cs="Times New Roman"/>
          <w:kern w:val="0"/>
          <w:sz w:val="32"/>
          <w:szCs w:val="32"/>
        </w:rPr>
        <w:t>元，占</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w:t>
      </w:r>
    </w:p>
    <w:p>
      <w:pPr>
        <w:pStyle w:val="20"/>
        <w:keepLines w:val="0"/>
        <w:pageBreakBefore w:val="0"/>
        <w:kinsoku/>
        <w:wordWrap/>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四、财政拨款收入支出决算总体情况说明</w:t>
      </w:r>
    </w:p>
    <w:p>
      <w:pPr>
        <w:keepLines w:val="0"/>
        <w:pageBreakBefore w:val="0"/>
        <w:kinsoku/>
        <w:wordWrap/>
        <w:overflowPunct/>
        <w:topLinePunct w:val="0"/>
        <w:bidi w:val="0"/>
        <w:spacing w:line="560" w:lineRule="exact"/>
        <w:ind w:firstLine="611" w:firstLineChars="19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2023年度财政拨款收、支总计</w:t>
      </w:r>
      <w:r>
        <w:rPr>
          <w:rFonts w:hint="eastAsia" w:ascii="Times New Roman" w:hAnsi="Times New Roman" w:eastAsia="仿宋_GB2312" w:cs="Times New Roman"/>
          <w:kern w:val="0"/>
          <w:sz w:val="32"/>
          <w:szCs w:val="32"/>
        </w:rPr>
        <w:t>5351.47万</w:t>
      </w:r>
      <w:r>
        <w:rPr>
          <w:rFonts w:ascii="Times New Roman" w:hAnsi="Times New Roman" w:eastAsia="仿宋_GB2312" w:cs="Times New Roman"/>
          <w:kern w:val="0"/>
          <w:sz w:val="32"/>
          <w:szCs w:val="32"/>
        </w:rPr>
        <w:t>元</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与</w:t>
      </w:r>
      <w:r>
        <w:rPr>
          <w:rFonts w:hint="eastAsia" w:ascii="Times New Roman" w:hAnsi="Times New Roman" w:eastAsia="仿宋_GB2312" w:cs="Times New Roman"/>
          <w:kern w:val="0"/>
          <w:sz w:val="32"/>
          <w:szCs w:val="32"/>
        </w:rPr>
        <w:t>上</w:t>
      </w:r>
      <w:r>
        <w:rPr>
          <w:rFonts w:ascii="Times New Roman" w:hAnsi="Times New Roman" w:eastAsia="仿宋_GB2312" w:cs="Times New Roman"/>
          <w:kern w:val="0"/>
          <w:sz w:val="32"/>
          <w:szCs w:val="32"/>
        </w:rPr>
        <w:t>年度相比，</w:t>
      </w:r>
      <w:r>
        <w:rPr>
          <w:rFonts w:hint="eastAsia" w:ascii="Times New Roman" w:hAnsi="Times New Roman" w:eastAsia="仿宋_GB2312" w:cs="Times New Roman"/>
          <w:kern w:val="0"/>
          <w:sz w:val="32"/>
          <w:szCs w:val="32"/>
        </w:rPr>
        <w:t>增加687.12万元，增长14.73%。</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疫情影响减少，长沙市青少年宫全面对外运营，培训、活动、场馆运行支出增加，且新增新长沙市青少年宫后续建设项目剩余款项目。</w:t>
      </w:r>
    </w:p>
    <w:p>
      <w:pPr>
        <w:keepLines w:val="0"/>
        <w:pageBreakBefore w:val="0"/>
        <w:kinsoku/>
        <w:wordWrap/>
        <w:overflowPunct/>
        <w:topLinePunct w:val="0"/>
        <w:bidi w:val="0"/>
        <w:spacing w:line="560" w:lineRule="exact"/>
        <w:ind w:firstLine="640" w:firstLineChars="200"/>
        <w:textAlignment w:val="auto"/>
        <w:outlineLvl w:val="1"/>
        <w:rPr>
          <w:rFonts w:ascii="黑体" w:hAnsi="黑体" w:eastAsia="黑体" w:cs="黑体"/>
          <w:kern w:val="0"/>
          <w:sz w:val="32"/>
          <w:szCs w:val="32"/>
        </w:rPr>
      </w:pPr>
      <w:r>
        <w:rPr>
          <w:rFonts w:hint="eastAsia" w:ascii="黑体" w:hAnsi="黑体" w:eastAsia="黑体" w:cs="黑体"/>
          <w:kern w:val="0"/>
          <w:sz w:val="32"/>
          <w:szCs w:val="32"/>
        </w:rPr>
        <w:t>五、一般公共预算财政拨款支出决算情况说明</w:t>
      </w:r>
    </w:p>
    <w:p>
      <w:pPr>
        <w:keepLines w:val="0"/>
        <w:pageBreakBefore w:val="0"/>
        <w:kinsoku/>
        <w:wordWrap/>
        <w:overflowPunct/>
        <w:topLinePunct w:val="0"/>
        <w:bidi w:val="0"/>
        <w:spacing w:line="560" w:lineRule="exact"/>
        <w:ind w:left="640"/>
        <w:textAlignment w:val="auto"/>
        <w:rPr>
          <w:rFonts w:ascii="楷体" w:hAnsi="楷体" w:eastAsia="楷体" w:cs="楷体"/>
          <w:kern w:val="0"/>
          <w:sz w:val="32"/>
          <w:szCs w:val="32"/>
        </w:rPr>
      </w:pPr>
      <w:r>
        <w:rPr>
          <w:rFonts w:hint="eastAsia" w:ascii="楷体" w:hAnsi="楷体" w:eastAsia="楷体" w:cs="楷体"/>
          <w:kern w:val="0"/>
          <w:sz w:val="32"/>
          <w:szCs w:val="32"/>
        </w:rPr>
        <w:t>（一）一般公共预算财政拨款支出决算总体情况</w:t>
      </w:r>
    </w:p>
    <w:p>
      <w:pPr>
        <w:keepLines w:val="0"/>
        <w:pageBreakBefore w:val="0"/>
        <w:kinsoku/>
        <w:wordWrap/>
        <w:overflowPunct/>
        <w:topLinePunct w:val="0"/>
        <w:bidi w:val="0"/>
        <w:spacing w:line="560" w:lineRule="exact"/>
        <w:ind w:firstLine="611" w:firstLineChars="19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2023年度财政拨款支出</w:t>
      </w:r>
      <w:r>
        <w:rPr>
          <w:rFonts w:hint="eastAsia" w:ascii="Times New Roman" w:hAnsi="Times New Roman" w:eastAsia="仿宋_GB2312" w:cs="Times New Roman"/>
          <w:kern w:val="0"/>
          <w:sz w:val="32"/>
          <w:szCs w:val="32"/>
        </w:rPr>
        <w:t>5351.47万</w:t>
      </w:r>
      <w:r>
        <w:rPr>
          <w:rFonts w:ascii="Times New Roman" w:hAnsi="Times New Roman" w:eastAsia="仿宋_GB2312" w:cs="Times New Roman"/>
          <w:kern w:val="0"/>
          <w:sz w:val="32"/>
          <w:szCs w:val="32"/>
        </w:rPr>
        <w:t>元，占本年支出合计的</w:t>
      </w:r>
      <w:r>
        <w:rPr>
          <w:rFonts w:hint="eastAsia" w:ascii="Times New Roman" w:hAnsi="Times New Roman" w:eastAsia="仿宋_GB2312" w:cs="Times New Roman"/>
          <w:kern w:val="0"/>
          <w:sz w:val="32"/>
          <w:szCs w:val="32"/>
        </w:rPr>
        <w:t>100.00</w:t>
      </w:r>
      <w:r>
        <w:rPr>
          <w:rFonts w:ascii="Times New Roman" w:hAnsi="Times New Roman" w:eastAsia="仿宋_GB2312" w:cs="Times New Roman"/>
          <w:kern w:val="0"/>
          <w:sz w:val="32"/>
          <w:szCs w:val="32"/>
        </w:rPr>
        <w:t>%。与</w:t>
      </w:r>
      <w:r>
        <w:rPr>
          <w:rFonts w:hint="eastAsia" w:ascii="Times New Roman" w:hAnsi="Times New Roman" w:eastAsia="仿宋_GB2312" w:cs="Times New Roman"/>
          <w:kern w:val="0"/>
          <w:sz w:val="32"/>
          <w:szCs w:val="32"/>
        </w:rPr>
        <w:t>上</w:t>
      </w:r>
      <w:r>
        <w:rPr>
          <w:rFonts w:ascii="Times New Roman" w:hAnsi="Times New Roman" w:eastAsia="仿宋_GB2312" w:cs="Times New Roman"/>
          <w:kern w:val="0"/>
          <w:sz w:val="32"/>
          <w:szCs w:val="32"/>
        </w:rPr>
        <w:t>年相比，财政拨款支出</w:t>
      </w:r>
      <w:r>
        <w:rPr>
          <w:rFonts w:hint="eastAsia" w:ascii="Times New Roman" w:hAnsi="Times New Roman" w:eastAsia="仿宋_GB2312" w:cs="Times New Roman"/>
          <w:kern w:val="0"/>
          <w:sz w:val="32"/>
          <w:szCs w:val="32"/>
        </w:rPr>
        <w:t>增加687.12万元，增长14.73%。</w:t>
      </w:r>
      <w:r>
        <w:rPr>
          <w:rFonts w:ascii="Times New Roman" w:hAnsi="Times New Roman" w:eastAsia="仿宋_GB2312" w:cs="Times New Roman"/>
          <w:kern w:val="0"/>
          <w:sz w:val="32"/>
          <w:szCs w:val="32"/>
        </w:rPr>
        <w:t>主要原因是</w:t>
      </w:r>
      <w:r>
        <w:rPr>
          <w:rFonts w:hint="eastAsia" w:ascii="Times New Roman" w:hAnsi="Times New Roman" w:eastAsia="仿宋_GB2312" w:cs="Times New Roman"/>
          <w:kern w:val="0"/>
          <w:sz w:val="32"/>
          <w:szCs w:val="32"/>
        </w:rPr>
        <w:t>疫情影响减少，长沙市青少年宫全面对外运营，培训、活动、场馆运行支出增加，且新增新长沙市青少年宫后续建设项目剩余款项目。</w:t>
      </w:r>
    </w:p>
    <w:p>
      <w:pPr>
        <w:keepLines w:val="0"/>
        <w:pageBreakBefore w:val="0"/>
        <w:kinsoku/>
        <w:wordWrap/>
        <w:overflowPunct/>
        <w:topLinePunct w:val="0"/>
        <w:bidi w:val="0"/>
        <w:spacing w:line="560" w:lineRule="exact"/>
        <w:ind w:left="640"/>
        <w:textAlignment w:val="auto"/>
        <w:rPr>
          <w:rFonts w:ascii="楷体" w:hAnsi="楷体" w:eastAsia="楷体" w:cs="楷体"/>
          <w:kern w:val="0"/>
          <w:sz w:val="32"/>
          <w:szCs w:val="32"/>
        </w:rPr>
      </w:pPr>
      <w:r>
        <w:rPr>
          <w:rFonts w:hint="eastAsia" w:ascii="楷体" w:hAnsi="楷体" w:eastAsia="楷体" w:cs="楷体"/>
          <w:kern w:val="0"/>
          <w:sz w:val="32"/>
          <w:szCs w:val="32"/>
        </w:rPr>
        <w:t>（二）一般公共预算财政拨款支出决算结构情况</w:t>
      </w:r>
    </w:p>
    <w:p>
      <w:pPr>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2023年度财政拨款支出</w:t>
      </w:r>
      <w:r>
        <w:rPr>
          <w:rFonts w:hint="eastAsia" w:ascii="Times New Roman" w:hAnsi="Times New Roman" w:eastAsia="仿宋_GB2312" w:cs="Times New Roman"/>
          <w:kern w:val="0"/>
          <w:sz w:val="32"/>
          <w:szCs w:val="32"/>
        </w:rPr>
        <w:t>5351.47万</w:t>
      </w:r>
      <w:r>
        <w:rPr>
          <w:rFonts w:ascii="Times New Roman" w:hAnsi="Times New Roman" w:eastAsia="仿宋_GB2312" w:cs="Times New Roman"/>
          <w:kern w:val="0"/>
          <w:sz w:val="32"/>
          <w:szCs w:val="32"/>
        </w:rPr>
        <w:t>元，主要用于以下方面：</w:t>
      </w:r>
      <w:r>
        <w:rPr>
          <w:rFonts w:hint="eastAsia" w:ascii="Times New Roman" w:hAnsi="Times New Roman" w:eastAsia="仿宋_GB2312" w:cs="Times New Roman"/>
          <w:kern w:val="0"/>
          <w:sz w:val="32"/>
          <w:szCs w:val="32"/>
        </w:rPr>
        <w:t>一般公共服务支出本年支出4.76万元，占0.09%。教育支出本年支出5342.88万元，占99.84%。科学技术支出本年支出3.83万元，占0.07%。</w:t>
      </w:r>
    </w:p>
    <w:p>
      <w:pPr>
        <w:keepLines w:val="0"/>
        <w:pageBreakBefore w:val="0"/>
        <w:kinsoku/>
        <w:wordWrap/>
        <w:overflowPunct/>
        <w:topLinePunct w:val="0"/>
        <w:bidi w:val="0"/>
        <w:spacing w:line="560" w:lineRule="exact"/>
        <w:ind w:left="640"/>
        <w:textAlignment w:val="auto"/>
        <w:rPr>
          <w:rFonts w:ascii="楷体" w:hAnsi="楷体" w:eastAsia="楷体" w:cs="楷体"/>
          <w:kern w:val="0"/>
          <w:sz w:val="32"/>
          <w:szCs w:val="32"/>
        </w:rPr>
      </w:pPr>
      <w:r>
        <w:rPr>
          <w:rFonts w:hint="eastAsia" w:ascii="楷体" w:hAnsi="楷体" w:eastAsia="楷体" w:cs="楷体"/>
          <w:kern w:val="0"/>
          <w:sz w:val="32"/>
          <w:szCs w:val="32"/>
        </w:rPr>
        <w:t>（三）一般公共预算财政拨款支出决算具体情况</w:t>
      </w:r>
    </w:p>
    <w:p>
      <w:pPr>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2023年度财政拨款支出年初预算为</w:t>
      </w:r>
      <w:r>
        <w:rPr>
          <w:rFonts w:hint="eastAsia" w:ascii="Times New Roman" w:hAnsi="Times New Roman" w:eastAsia="仿宋_GB2312" w:cs="Times New Roman"/>
          <w:kern w:val="0"/>
          <w:sz w:val="32"/>
          <w:szCs w:val="32"/>
        </w:rPr>
        <w:t>5735.09万</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rPr>
        <w:t>5351.47万</w:t>
      </w:r>
      <w:r>
        <w:rPr>
          <w:rFonts w:ascii="Times New Roman" w:hAnsi="Times New Roman" w:eastAsia="仿宋_GB2312" w:cs="Times New Roman"/>
          <w:kern w:val="0"/>
          <w:sz w:val="32"/>
          <w:szCs w:val="32"/>
        </w:rPr>
        <w:t>元，完成年初预算的</w:t>
      </w:r>
      <w:r>
        <w:rPr>
          <w:rFonts w:hint="eastAsia" w:ascii="Times New Roman" w:hAnsi="Times New Roman" w:eastAsia="仿宋_GB2312" w:cs="Times New Roman"/>
          <w:kern w:val="0"/>
          <w:sz w:val="32"/>
          <w:szCs w:val="32"/>
        </w:rPr>
        <w:t>93.31</w:t>
      </w:r>
      <w:r>
        <w:rPr>
          <w:rFonts w:ascii="Times New Roman" w:hAnsi="Times New Roman" w:eastAsia="仿宋_GB2312" w:cs="Times New Roman"/>
          <w:kern w:val="0"/>
          <w:sz w:val="32"/>
          <w:szCs w:val="32"/>
        </w:rPr>
        <w:t xml:space="preserve">%。其中：  </w:t>
      </w:r>
    </w:p>
    <w:p>
      <w:pPr>
        <w:keepLines w:val="0"/>
        <w:pageBreakBefore w:val="0"/>
        <w:kinsoku/>
        <w:wordWrap/>
        <w:overflowPunct/>
        <w:topLinePunct w:val="0"/>
        <w:bidi w:val="0"/>
        <w:spacing w:line="560" w:lineRule="exac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一般公共服务支出（类）党委办公厅（室）及相关机构事务（款）专项业务（项），年初预算为9.03万元，支出决算为4.76万元。决算数与年初预算数存在差异的主要原因是：</w:t>
      </w:r>
      <w:r>
        <w:rPr>
          <w:rFonts w:hint="eastAsia" w:ascii="Times New Roman" w:hAnsi="Times New Roman" w:eastAsia="仿宋_GB2312" w:cs="Times New Roman"/>
          <w:kern w:val="0"/>
          <w:sz w:val="32"/>
          <w:szCs w:val="32"/>
          <w:lang w:eastAsia="zh-CN"/>
        </w:rPr>
        <w:t>离休人员专项项目决算数小于预算数</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教育支出（类）其他教育支出（款）其他教育支出（项），年初预算为6173.17万元，支出决算为5342.88万元，完成年初预算的86.55%。决算数小于年初预算数的主要原因是：办班教学和场馆运营项目</w:t>
      </w:r>
      <w:r>
        <w:rPr>
          <w:rFonts w:hint="eastAsia" w:ascii="Times New Roman" w:hAnsi="Times New Roman" w:eastAsia="仿宋_GB2312" w:cs="Times New Roman"/>
          <w:kern w:val="0"/>
          <w:sz w:val="32"/>
          <w:szCs w:val="32"/>
          <w:lang w:val="en-US" w:eastAsia="zh-CN"/>
        </w:rPr>
        <w:t>和</w:t>
      </w:r>
      <w:r>
        <w:rPr>
          <w:rFonts w:hint="eastAsia" w:ascii="Times New Roman" w:hAnsi="Times New Roman" w:eastAsia="仿宋_GB2312" w:cs="Times New Roman"/>
          <w:kern w:val="0"/>
          <w:sz w:val="32"/>
          <w:szCs w:val="32"/>
        </w:rPr>
        <w:t>青少年宫后续建设剩余款项目</w:t>
      </w:r>
      <w:r>
        <w:rPr>
          <w:rFonts w:hint="eastAsia" w:ascii="Times New Roman" w:hAnsi="Times New Roman" w:eastAsia="仿宋_GB2312" w:cs="Times New Roman"/>
          <w:kern w:val="0"/>
          <w:sz w:val="32"/>
          <w:szCs w:val="32"/>
          <w:lang w:eastAsia="zh-CN"/>
        </w:rPr>
        <w:t>决算数小于预算数</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科学技术支出</w:t>
      </w:r>
      <w:r>
        <w:rPr>
          <w:rFonts w:hint="eastAsia" w:ascii="Times New Roman" w:hAnsi="Times New Roman" w:eastAsia="仿宋_GB2312" w:cs="Times New Roman"/>
          <w:kern w:val="0"/>
          <w:sz w:val="32"/>
          <w:szCs w:val="32"/>
        </w:rPr>
        <w:t>（类）</w:t>
      </w:r>
      <w:r>
        <w:rPr>
          <w:rFonts w:hint="eastAsia" w:ascii="Times New Roman" w:hAnsi="Times New Roman" w:eastAsia="仿宋_GB2312" w:cs="Times New Roman"/>
          <w:kern w:val="0"/>
          <w:sz w:val="32"/>
          <w:szCs w:val="32"/>
          <w:lang w:eastAsia="zh-CN"/>
        </w:rPr>
        <w:t>科学技术普及</w:t>
      </w:r>
      <w:r>
        <w:rPr>
          <w:rFonts w:hint="eastAsia" w:ascii="Times New Roman" w:hAnsi="Times New Roman" w:eastAsia="仿宋_GB2312" w:cs="Times New Roman"/>
          <w:kern w:val="0"/>
          <w:sz w:val="32"/>
          <w:szCs w:val="32"/>
        </w:rPr>
        <w:t>（款）</w:t>
      </w:r>
      <w:r>
        <w:rPr>
          <w:rFonts w:hint="eastAsia" w:ascii="Times New Roman" w:hAnsi="Times New Roman" w:eastAsia="仿宋_GB2312" w:cs="Times New Roman"/>
          <w:kern w:val="0"/>
          <w:sz w:val="32"/>
          <w:szCs w:val="32"/>
          <w:lang w:eastAsia="zh-CN"/>
        </w:rPr>
        <w:t>科普活动</w:t>
      </w:r>
      <w:r>
        <w:rPr>
          <w:rFonts w:hint="eastAsia" w:ascii="Times New Roman" w:hAnsi="Times New Roman" w:eastAsia="仿宋_GB2312" w:cs="Times New Roman"/>
          <w:kern w:val="0"/>
          <w:sz w:val="32"/>
          <w:szCs w:val="32"/>
        </w:rPr>
        <w:t>（项），年初预算为8万元，支出决算为3.83万元，决算数与年初预算数存在差异的主要原因是：院士来了活动未开展，导致预算执行率</w:t>
      </w:r>
      <w:r>
        <w:rPr>
          <w:rFonts w:hint="eastAsia" w:ascii="Times New Roman" w:hAnsi="Times New Roman" w:eastAsia="仿宋_GB2312" w:cs="Times New Roman"/>
          <w:kern w:val="0"/>
          <w:sz w:val="32"/>
          <w:szCs w:val="32"/>
          <w:lang w:eastAsia="zh-CN"/>
        </w:rPr>
        <w:t>低</w:t>
      </w:r>
      <w:r>
        <w:rPr>
          <w:rFonts w:hint="eastAsia" w:ascii="Times New Roman" w:hAnsi="Times New Roman" w:eastAsia="仿宋_GB2312" w:cs="Times New Roman"/>
          <w:kern w:val="0"/>
          <w:sz w:val="32"/>
          <w:szCs w:val="32"/>
        </w:rPr>
        <w:t>。</w:t>
      </w:r>
    </w:p>
    <w:p>
      <w:pPr>
        <w:pStyle w:val="2"/>
        <w:keepLines w:val="0"/>
        <w:pageBreakBefore w:val="0"/>
        <w:kinsoku/>
        <w:wordWrap/>
        <w:overflowPunct/>
        <w:topLinePunct w:val="0"/>
        <w:bidi w:val="0"/>
        <w:spacing w:line="560" w:lineRule="exact"/>
        <w:textAlignment w:val="auto"/>
      </w:pPr>
    </w:p>
    <w:p>
      <w:pPr>
        <w:pStyle w:val="20"/>
        <w:keepLines w:val="0"/>
        <w:pageBreakBefore w:val="0"/>
        <w:kinsoku/>
        <w:wordWrap/>
        <w:overflowPunct/>
        <w:topLinePunct w:val="0"/>
        <w:bidi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六、一般公共预算财政拨款基本支出决算情况说明</w:t>
      </w:r>
    </w:p>
    <w:p>
      <w:pPr>
        <w:pStyle w:val="2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2023年度财政拨款基本支出</w:t>
      </w:r>
      <w:r>
        <w:rPr>
          <w:rFonts w:hint="eastAsia" w:ascii="Times New Roman" w:hAnsi="Times New Roman" w:eastAsia="仿宋_GB2312" w:cs="Times New Roman"/>
          <w:color w:val="auto"/>
          <w:sz w:val="32"/>
          <w:szCs w:val="32"/>
        </w:rPr>
        <w:t>1921.18万</w:t>
      </w:r>
      <w:r>
        <w:rPr>
          <w:rFonts w:ascii="Times New Roman" w:hAnsi="Times New Roman" w:eastAsia="仿宋_GB2312" w:cs="Times New Roman"/>
          <w:color w:val="auto"/>
          <w:sz w:val="32"/>
          <w:szCs w:val="32"/>
        </w:rPr>
        <w:t>元，其中：</w:t>
      </w:r>
    </w:p>
    <w:p>
      <w:pPr>
        <w:pStyle w:val="2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人员经费</w:t>
      </w:r>
      <w:r>
        <w:rPr>
          <w:rFonts w:hint="eastAsia" w:ascii="Times New Roman" w:hAnsi="Times New Roman" w:eastAsia="仿宋_GB2312" w:cs="Times New Roman"/>
          <w:color w:val="auto"/>
          <w:sz w:val="32"/>
          <w:szCs w:val="32"/>
        </w:rPr>
        <w:t>1808.01万</w:t>
      </w:r>
      <w:r>
        <w:rPr>
          <w:rFonts w:ascii="Times New Roman" w:hAnsi="Times New Roman" w:eastAsia="仿宋_GB2312" w:cs="Times New Roman"/>
          <w:color w:val="auto"/>
          <w:sz w:val="32"/>
          <w:szCs w:val="32"/>
        </w:rPr>
        <w:t>元，</w:t>
      </w:r>
      <w:r>
        <w:rPr>
          <w:rFonts w:hint="eastAsia" w:ascii="Times New Roman" w:hAnsi="Times New Roman" w:eastAsia="仿宋_GB2312" w:cs="Times New Roman"/>
          <w:color w:val="auto"/>
          <w:sz w:val="32"/>
          <w:szCs w:val="32"/>
        </w:rPr>
        <w:t>占基本支出的94.11%，主要包括</w:t>
      </w:r>
      <w:r>
        <w:rPr>
          <w:rFonts w:hint="eastAsia" w:ascii="Times New Roman" w:hAnsi="Times New Roman" w:eastAsia="仿宋_GB2312" w:cs="Times New Roman"/>
          <w:sz w:val="32"/>
          <w:szCs w:val="32"/>
        </w:rPr>
        <w:t>基本工资429.34万元、津贴补贴32.94万元、奖金162.86万元、绩效工资319.03万元、机关事业单位基本养老保险缴费195.43万元，职业年金缴费96万元，职工基本医疗保险缴费89.21万元，公务员医疗补助缴费61.7万元，其他社会保障缴费11.86万元，住房公积金206.1万元，对个人和家庭的补助51.5万元，离休费17.27万元，退休费130.59万元，抚恤金3.26万元，生活补助0.9万元。</w:t>
      </w:r>
    </w:p>
    <w:p>
      <w:pPr>
        <w:pStyle w:val="2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公用经费</w:t>
      </w:r>
      <w:r>
        <w:rPr>
          <w:rFonts w:hint="eastAsia" w:ascii="Times New Roman" w:hAnsi="Times New Roman" w:eastAsia="仿宋_GB2312" w:cs="Times New Roman"/>
          <w:color w:val="000000"/>
          <w:sz w:val="32"/>
          <w:szCs w:val="32"/>
        </w:rPr>
        <w:t>113.17万</w:t>
      </w:r>
      <w:r>
        <w:rPr>
          <w:rFonts w:ascii="Times New Roman" w:hAnsi="Times New Roman" w:eastAsia="仿宋_GB2312" w:cs="Times New Roman"/>
          <w:color w:val="000000"/>
          <w:sz w:val="32"/>
          <w:szCs w:val="32"/>
        </w:rPr>
        <w:t>元</w:t>
      </w:r>
      <w:r>
        <w:rPr>
          <w:rFonts w:hint="eastAsia" w:ascii="Times New Roman" w:hAnsi="Times New Roman" w:eastAsia="仿宋_GB2312" w:cs="Times New Roman"/>
          <w:color w:val="000000"/>
          <w:sz w:val="32"/>
          <w:szCs w:val="32"/>
        </w:rPr>
        <w:t>，占基本支出的5.89%</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主要包括办公费</w:t>
      </w:r>
      <w:r>
        <w:rPr>
          <w:rFonts w:hint="eastAsia" w:ascii="Times New Roman" w:hAnsi="Times New Roman" w:eastAsia="仿宋_GB2312" w:cs="Times New Roman"/>
          <w:color w:val="000000"/>
          <w:sz w:val="32"/>
          <w:szCs w:val="32"/>
          <w:lang w:val="en-US" w:eastAsia="zh-CN"/>
        </w:rPr>
        <w:t>20万元</w:t>
      </w:r>
      <w:r>
        <w:rPr>
          <w:rFonts w:hint="eastAsia" w:ascii="Times New Roman" w:hAnsi="Times New Roman" w:eastAsia="仿宋_GB2312" w:cs="Times New Roman"/>
          <w:color w:val="000000"/>
          <w:sz w:val="32"/>
          <w:szCs w:val="32"/>
        </w:rPr>
        <w:t>、工会经费</w:t>
      </w:r>
      <w:r>
        <w:rPr>
          <w:rFonts w:hint="eastAsia" w:ascii="Times New Roman" w:hAnsi="Times New Roman" w:eastAsia="仿宋_GB2312" w:cs="Times New Roman"/>
          <w:color w:val="000000"/>
          <w:sz w:val="32"/>
          <w:szCs w:val="32"/>
          <w:lang w:val="en-US" w:eastAsia="zh-CN"/>
        </w:rPr>
        <w:t>8.97万元</w:t>
      </w:r>
      <w:r>
        <w:rPr>
          <w:rFonts w:hint="eastAsia" w:ascii="Times New Roman" w:hAnsi="Times New Roman" w:eastAsia="仿宋_GB2312" w:cs="Times New Roman"/>
          <w:color w:val="000000"/>
          <w:sz w:val="32"/>
          <w:szCs w:val="32"/>
        </w:rPr>
        <w:t>、福利费</w:t>
      </w:r>
      <w:r>
        <w:rPr>
          <w:rFonts w:hint="eastAsia" w:ascii="Times New Roman" w:hAnsi="Times New Roman" w:eastAsia="仿宋_GB2312" w:cs="Times New Roman"/>
          <w:color w:val="000000"/>
          <w:sz w:val="32"/>
          <w:szCs w:val="32"/>
          <w:lang w:val="en-US" w:eastAsia="zh-CN"/>
        </w:rPr>
        <w:t>4.2万元</w:t>
      </w:r>
      <w:r>
        <w:rPr>
          <w:rFonts w:hint="eastAsia" w:ascii="Times New Roman" w:hAnsi="Times New Roman" w:eastAsia="仿宋_GB2312" w:cs="Times New Roman"/>
          <w:color w:val="000000"/>
          <w:sz w:val="32"/>
          <w:szCs w:val="32"/>
        </w:rPr>
        <w:t>和其他商品和服务支出</w:t>
      </w:r>
      <w:r>
        <w:rPr>
          <w:rFonts w:hint="eastAsia" w:ascii="Times New Roman" w:hAnsi="Times New Roman" w:eastAsia="仿宋_GB2312" w:cs="Times New Roman"/>
          <w:color w:val="000000"/>
          <w:sz w:val="32"/>
          <w:szCs w:val="32"/>
          <w:lang w:val="en-US" w:eastAsia="zh-CN"/>
        </w:rPr>
        <w:t>80万元</w:t>
      </w:r>
      <w:r>
        <w:rPr>
          <w:rFonts w:hint="eastAsia" w:ascii="Times New Roman" w:hAnsi="Times New Roman" w:eastAsia="仿宋_GB2312" w:cs="Times New Roman"/>
          <w:color w:val="000000"/>
          <w:sz w:val="32"/>
          <w:szCs w:val="32"/>
        </w:rPr>
        <w:t>。</w:t>
      </w:r>
    </w:p>
    <w:p>
      <w:pPr>
        <w:keepLines w:val="0"/>
        <w:pageBreakBefore w:val="0"/>
        <w:kinsoku/>
        <w:wordWrap/>
        <w:overflowPunct/>
        <w:topLinePunct w:val="0"/>
        <w:bidi w:val="0"/>
        <w:spacing w:line="560" w:lineRule="exact"/>
        <w:ind w:firstLine="640" w:firstLineChars="200"/>
        <w:textAlignment w:val="auto"/>
        <w:outlineLvl w:val="1"/>
        <w:rPr>
          <w:rFonts w:ascii="黑体" w:hAnsi="黑体" w:eastAsia="黑体" w:cs="黑体"/>
          <w:kern w:val="0"/>
          <w:sz w:val="32"/>
          <w:szCs w:val="32"/>
        </w:rPr>
      </w:pPr>
      <w:r>
        <w:rPr>
          <w:rFonts w:hint="eastAsia" w:ascii="黑体" w:hAnsi="黑体" w:eastAsia="黑体" w:cs="黑体"/>
          <w:kern w:val="0"/>
          <w:sz w:val="32"/>
          <w:szCs w:val="32"/>
        </w:rPr>
        <w:t>七、财政拨款三公经费支出决算情况说明</w:t>
      </w:r>
    </w:p>
    <w:p>
      <w:pPr>
        <w:keepLines w:val="0"/>
        <w:pageBreakBefore w:val="0"/>
        <w:kinsoku/>
        <w:wordWrap/>
        <w:overflowPunct/>
        <w:topLinePunct w:val="0"/>
        <w:autoSpaceDE w:val="0"/>
        <w:autoSpaceDN w:val="0"/>
        <w:bidi w:val="0"/>
        <w:adjustRightInd w:val="0"/>
        <w:spacing w:line="560" w:lineRule="exact"/>
        <w:ind w:left="477" w:leftChars="227" w:firstLine="154" w:firstLineChars="48"/>
        <w:jc w:val="left"/>
        <w:textAlignment w:val="auto"/>
        <w:rPr>
          <w:rFonts w:ascii="楷体" w:hAnsi="楷体" w:eastAsia="楷体" w:cs="楷体"/>
          <w:b/>
          <w:color w:val="000000"/>
          <w:kern w:val="0"/>
          <w:sz w:val="32"/>
          <w:szCs w:val="32"/>
        </w:rPr>
      </w:pPr>
      <w:r>
        <w:rPr>
          <w:rFonts w:ascii="楷体" w:hAnsi="楷体" w:eastAsia="楷体" w:cs="楷体"/>
          <w:b/>
          <w:color w:val="000000"/>
          <w:kern w:val="0"/>
          <w:sz w:val="32"/>
          <w:szCs w:val="32"/>
        </w:rPr>
        <w:t>（一）“三公”经费财政拨款支出决算总体情况说明。</w:t>
      </w:r>
    </w:p>
    <w:p>
      <w:pPr>
        <w:keepLines w:val="0"/>
        <w:pageBreakBefore w:val="0"/>
        <w:kinsoku/>
        <w:wordWrap/>
        <w:overflowPunct/>
        <w:topLinePunct w:val="0"/>
        <w:bidi w:val="0"/>
        <w:spacing w:line="560" w:lineRule="exact"/>
        <w:ind w:firstLine="611" w:firstLineChars="191"/>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“三公”经费财政拨款支出预算为</w:t>
      </w:r>
      <w:r>
        <w:rPr>
          <w:rFonts w:hint="eastAsia" w:ascii="Times New Roman" w:hAnsi="Times New Roman" w:eastAsia="仿宋_GB2312" w:cs="Times New Roman"/>
          <w:kern w:val="0"/>
          <w:sz w:val="32"/>
          <w:szCs w:val="32"/>
        </w:rPr>
        <w:t>4.00万</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rPr>
        <w:t>3.32万</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rPr>
        <w:t>83.00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基本支出为0元，项目支出为3.32万元。</w:t>
      </w:r>
      <w:r>
        <w:rPr>
          <w:rFonts w:hint="eastAsia" w:ascii="Times New Roman" w:hAnsi="Times New Roman" w:eastAsia="仿宋_GB2312" w:cs="Times New Roman"/>
          <w:kern w:val="0"/>
          <w:sz w:val="32"/>
          <w:szCs w:val="32"/>
        </w:rPr>
        <w:t>决算数小于预算数的主要原因是：严格执行中央八项规定，严控“三公"经费开支，厉行勤俭节约政策</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与上年相比增加1.07万元，增长47.56%,主要原因是2023年疫情影响减少，青少年宫各项培训、活动、公务接待增加。其中：</w:t>
      </w:r>
    </w:p>
    <w:p>
      <w:pPr>
        <w:pStyle w:val="20"/>
        <w:keepLines w:val="0"/>
        <w:pageBreakBefore w:val="0"/>
        <w:kinsoku/>
        <w:wordWrap/>
        <w:overflowPunct/>
        <w:topLinePunct w:val="0"/>
        <w:bidi w:val="0"/>
        <w:spacing w:line="560" w:lineRule="exact"/>
        <w:ind w:firstLine="627" w:firstLineChars="196"/>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因公出国（境）费</w:t>
      </w:r>
      <w:r>
        <w:rPr>
          <w:rFonts w:hint="eastAsia"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rPr>
        <w:t>预算为</w:t>
      </w:r>
      <w:r>
        <w:rPr>
          <w:rFonts w:hint="eastAsia" w:ascii="Times New Roman" w:hAnsi="Times New Roman" w:eastAsia="仿宋_GB2312" w:cs="Times New Roman"/>
          <w:color w:val="auto"/>
          <w:sz w:val="32"/>
          <w:szCs w:val="32"/>
        </w:rPr>
        <w:t>0.00万</w:t>
      </w:r>
      <w:r>
        <w:rPr>
          <w:rFonts w:ascii="Times New Roman" w:hAnsi="Times New Roman" w:eastAsia="仿宋_GB2312" w:cs="Times New Roman"/>
          <w:color w:val="auto"/>
          <w:sz w:val="32"/>
          <w:szCs w:val="32"/>
        </w:rPr>
        <w:t>元，支出决算为</w:t>
      </w:r>
      <w:r>
        <w:rPr>
          <w:rFonts w:hint="eastAsia" w:ascii="Times New Roman" w:hAnsi="Times New Roman" w:eastAsia="仿宋_GB2312" w:cs="Times New Roman"/>
          <w:color w:val="auto"/>
          <w:sz w:val="32"/>
          <w:szCs w:val="32"/>
        </w:rPr>
        <w:t>0.00万</w:t>
      </w:r>
      <w:r>
        <w:rPr>
          <w:rFonts w:ascii="Times New Roman" w:hAnsi="Times New Roman" w:eastAsia="仿宋_GB2312" w:cs="Times New Roman"/>
          <w:color w:val="auto"/>
          <w:sz w:val="32"/>
          <w:szCs w:val="32"/>
        </w:rPr>
        <w:t>元，完成预算的</w:t>
      </w:r>
      <w:r>
        <w:rPr>
          <w:rFonts w:hint="eastAsia" w:ascii="Times New Roman" w:hAnsi="Times New Roman" w:eastAsia="仿宋_GB2312" w:cs="Times New Roman"/>
          <w:color w:val="auto"/>
          <w:sz w:val="32"/>
          <w:szCs w:val="32"/>
        </w:rPr>
        <w:t>0.00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，与上年相比持平。</w:t>
      </w:r>
    </w:p>
    <w:p>
      <w:pPr>
        <w:pStyle w:val="20"/>
        <w:keepLines w:val="0"/>
        <w:pageBreakBefore w:val="0"/>
        <w:kinsoku/>
        <w:wordWrap/>
        <w:overflowPunct/>
        <w:topLinePunct w:val="0"/>
        <w:bidi w:val="0"/>
        <w:spacing w:line="560" w:lineRule="exact"/>
        <w:ind w:firstLine="627" w:firstLineChars="196"/>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公务接待费</w:t>
      </w:r>
      <w:r>
        <w:rPr>
          <w:rFonts w:hint="eastAsia" w:ascii="Times New Roman" w:hAnsi="Times New Roman" w:eastAsia="仿宋_GB2312" w:cs="Times New Roman"/>
          <w:color w:val="auto"/>
          <w:sz w:val="32"/>
          <w:szCs w:val="32"/>
        </w:rPr>
        <w:t>支出</w:t>
      </w:r>
      <w:r>
        <w:rPr>
          <w:rFonts w:ascii="Times New Roman" w:hAnsi="Times New Roman" w:eastAsia="仿宋_GB2312" w:cs="Times New Roman"/>
          <w:color w:val="auto"/>
          <w:sz w:val="32"/>
          <w:szCs w:val="32"/>
        </w:rPr>
        <w:t>预算为</w:t>
      </w:r>
      <w:r>
        <w:rPr>
          <w:rFonts w:hint="eastAsia" w:ascii="Times New Roman" w:hAnsi="Times New Roman" w:eastAsia="仿宋_GB2312" w:cs="Times New Roman"/>
          <w:color w:val="auto"/>
          <w:sz w:val="32"/>
          <w:szCs w:val="32"/>
        </w:rPr>
        <w:t>1.00万</w:t>
      </w:r>
      <w:r>
        <w:rPr>
          <w:rFonts w:ascii="Times New Roman" w:hAnsi="Times New Roman" w:eastAsia="仿宋_GB2312" w:cs="Times New Roman"/>
          <w:color w:val="auto"/>
          <w:sz w:val="32"/>
          <w:szCs w:val="32"/>
        </w:rPr>
        <w:t>元，支出决算为</w:t>
      </w:r>
      <w:r>
        <w:rPr>
          <w:rFonts w:hint="eastAsia" w:ascii="Times New Roman" w:hAnsi="Times New Roman" w:eastAsia="仿宋_GB2312" w:cs="Times New Roman"/>
          <w:color w:val="auto"/>
          <w:sz w:val="32"/>
          <w:szCs w:val="32"/>
        </w:rPr>
        <w:t>0.35万</w:t>
      </w:r>
      <w:r>
        <w:rPr>
          <w:rFonts w:ascii="Times New Roman" w:hAnsi="Times New Roman" w:eastAsia="仿宋_GB2312" w:cs="Times New Roman"/>
          <w:color w:val="auto"/>
          <w:sz w:val="32"/>
          <w:szCs w:val="32"/>
        </w:rPr>
        <w:t>元，完成预算的</w:t>
      </w:r>
      <w:r>
        <w:rPr>
          <w:rFonts w:hint="eastAsia" w:ascii="Times New Roman" w:hAnsi="Times New Roman" w:eastAsia="仿宋_GB2312" w:cs="Times New Roman"/>
          <w:color w:val="auto"/>
          <w:sz w:val="32"/>
          <w:szCs w:val="32"/>
        </w:rPr>
        <w:t>35.00</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基本支出为</w:t>
      </w:r>
      <w:r>
        <w:rPr>
          <w:rFonts w:hint="eastAsia" w:ascii="Times New Roman" w:hAnsi="Times New Roman" w:eastAsia="仿宋_GB2312" w:cs="Times New Roman"/>
          <w:color w:val="auto"/>
          <w:sz w:val="32"/>
          <w:szCs w:val="32"/>
          <w:lang w:val="en-US" w:eastAsia="zh-CN"/>
        </w:rPr>
        <w:t>0元，</w:t>
      </w:r>
      <w:r>
        <w:rPr>
          <w:rFonts w:hint="eastAsia" w:ascii="Times New Roman" w:hAnsi="Times New Roman" w:eastAsia="仿宋_GB2312" w:cs="Times New Roman"/>
          <w:color w:val="auto"/>
          <w:sz w:val="32"/>
          <w:szCs w:val="32"/>
          <w:lang w:eastAsia="zh-CN"/>
        </w:rPr>
        <w:t>办班教学和场馆运营项目中支出为</w:t>
      </w:r>
      <w:r>
        <w:rPr>
          <w:rFonts w:hint="eastAsia" w:ascii="Times New Roman" w:hAnsi="Times New Roman" w:eastAsia="仿宋_GB2312" w:cs="Times New Roman"/>
          <w:color w:val="auto"/>
          <w:sz w:val="32"/>
          <w:szCs w:val="32"/>
          <w:lang w:val="en-US" w:eastAsia="zh-CN"/>
        </w:rPr>
        <w:t>0.35万元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支出决算数小于预算数的主要原因是：严格执行中央八项规定，厉行勤俭节约政策，严格</w:t>
      </w:r>
      <w:r>
        <w:rPr>
          <w:rFonts w:hint="eastAsia" w:ascii="Times New Roman" w:hAnsi="Times New Roman" w:eastAsia="仿宋_GB2312" w:cs="Times New Roman"/>
          <w:color w:val="auto"/>
          <w:sz w:val="32"/>
          <w:szCs w:val="32"/>
          <w:lang w:eastAsia="zh-CN"/>
        </w:rPr>
        <w:t>遵守</w:t>
      </w:r>
      <w:r>
        <w:rPr>
          <w:rFonts w:hint="eastAsia" w:ascii="Times New Roman" w:hAnsi="Times New Roman" w:eastAsia="仿宋_GB2312" w:cs="Times New Roman"/>
          <w:color w:val="auto"/>
          <w:sz w:val="32"/>
          <w:szCs w:val="32"/>
        </w:rPr>
        <w:t>公务接待的有关政策、标准；与上年相比增加0.30万元，增长600.00%，决算数较上年增加的主要原因是：</w:t>
      </w:r>
      <w:r>
        <w:rPr>
          <w:rFonts w:hint="eastAsia" w:ascii="Times New Roman" w:hAnsi="Times New Roman" w:eastAsia="仿宋_GB2312" w:cs="Times New Roman"/>
          <w:color w:val="auto"/>
          <w:sz w:val="32"/>
          <w:szCs w:val="32"/>
          <w:lang w:val="en-US" w:eastAsia="zh-CN"/>
        </w:rPr>
        <w:t>2022年疫情原因公务接待1次；</w:t>
      </w:r>
      <w:r>
        <w:rPr>
          <w:rFonts w:hint="eastAsia" w:ascii="Times New Roman" w:hAnsi="Times New Roman" w:eastAsia="仿宋_GB2312" w:cs="Times New Roman"/>
          <w:color w:val="auto"/>
          <w:sz w:val="32"/>
          <w:szCs w:val="32"/>
        </w:rPr>
        <w:t>2023年疫情影响减少，公务接待</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次，且接待的人员大幅增加</w:t>
      </w:r>
      <w:r>
        <w:rPr>
          <w:rFonts w:hint="eastAsia" w:ascii="Times New Roman" w:hAnsi="Times New Roman" w:eastAsia="仿宋_GB2312" w:cs="Times New Roman"/>
          <w:color w:val="auto"/>
          <w:sz w:val="32"/>
          <w:szCs w:val="32"/>
        </w:rPr>
        <w:t>。</w:t>
      </w:r>
    </w:p>
    <w:p>
      <w:pPr>
        <w:keepLines w:val="0"/>
        <w:pageBreakBefore w:val="0"/>
        <w:kinsoku/>
        <w:wordWrap/>
        <w:overflowPunct/>
        <w:topLinePunct w:val="0"/>
        <w:autoSpaceDE w:val="0"/>
        <w:autoSpaceDN w:val="0"/>
        <w:bidi w:val="0"/>
        <w:adjustRightInd w:val="0"/>
        <w:spacing w:line="560" w:lineRule="exact"/>
        <w:ind w:firstLine="627" w:firstLineChars="196"/>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公务用车购置费</w:t>
      </w:r>
      <w:r>
        <w:rPr>
          <w:rFonts w:hint="eastAsia" w:ascii="Times New Roman" w:hAnsi="Times New Roman" w:eastAsia="仿宋_GB2312"/>
          <w:sz w:val="32"/>
          <w:szCs w:val="32"/>
        </w:rPr>
        <w:t>支出</w:t>
      </w:r>
      <w:r>
        <w:rPr>
          <w:rFonts w:ascii="Times New Roman" w:hAnsi="Times New Roman" w:eastAsia="仿宋_GB2312" w:cs="Times New Roman"/>
          <w:kern w:val="0"/>
          <w:sz w:val="32"/>
          <w:szCs w:val="32"/>
        </w:rPr>
        <w:t>预算为</w:t>
      </w:r>
      <w:r>
        <w:rPr>
          <w:rFonts w:hint="eastAsia" w:ascii="Times New Roman" w:hAnsi="Times New Roman" w:eastAsia="仿宋_GB2312" w:cs="Times New Roman"/>
          <w:kern w:val="0"/>
          <w:sz w:val="32"/>
          <w:szCs w:val="32"/>
        </w:rPr>
        <w:t>0.00万</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rPr>
        <w:t>0.00万</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rPr>
        <w:t>0.00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，与上年相比持平。</w:t>
      </w:r>
    </w:p>
    <w:p>
      <w:pPr>
        <w:keepLines w:val="0"/>
        <w:pageBreakBefore w:val="0"/>
        <w:kinsoku/>
        <w:wordWrap/>
        <w:overflowPunct/>
        <w:topLinePunct w:val="0"/>
        <w:bidi w:val="0"/>
        <w:spacing w:line="560" w:lineRule="exact"/>
        <w:ind w:firstLine="640" w:firstLineChars="200"/>
        <w:textAlignment w:val="auto"/>
      </w:pPr>
      <w:r>
        <w:rPr>
          <w:rFonts w:ascii="Times New Roman" w:hAnsi="Times New Roman" w:eastAsia="仿宋_GB2312" w:cs="Times New Roman"/>
          <w:kern w:val="0"/>
          <w:sz w:val="32"/>
          <w:szCs w:val="32"/>
        </w:rPr>
        <w:t>公务用车</w:t>
      </w:r>
      <w:r>
        <w:rPr>
          <w:rFonts w:hint="eastAsia" w:ascii="Times New Roman" w:hAnsi="Times New Roman" w:eastAsia="仿宋_GB2312" w:cs="Times New Roman"/>
          <w:kern w:val="0"/>
          <w:sz w:val="32"/>
          <w:szCs w:val="32"/>
        </w:rPr>
        <w:t>运行维护</w:t>
      </w:r>
      <w:r>
        <w:rPr>
          <w:rFonts w:ascii="Times New Roman" w:hAnsi="Times New Roman" w:eastAsia="仿宋_GB2312" w:cs="Times New Roman"/>
          <w:kern w:val="0"/>
          <w:sz w:val="32"/>
          <w:szCs w:val="32"/>
        </w:rPr>
        <w:t>费</w:t>
      </w:r>
      <w:r>
        <w:rPr>
          <w:rFonts w:hint="eastAsia" w:ascii="Times New Roman" w:hAnsi="Times New Roman" w:eastAsia="仿宋_GB2312"/>
          <w:sz w:val="32"/>
          <w:szCs w:val="32"/>
        </w:rPr>
        <w:t>支出</w:t>
      </w:r>
      <w:r>
        <w:rPr>
          <w:rFonts w:ascii="Times New Roman" w:hAnsi="Times New Roman" w:eastAsia="仿宋_GB2312" w:cs="Times New Roman"/>
          <w:kern w:val="0"/>
          <w:sz w:val="32"/>
          <w:szCs w:val="32"/>
        </w:rPr>
        <w:t>预算为</w:t>
      </w:r>
      <w:r>
        <w:rPr>
          <w:rFonts w:hint="eastAsia" w:ascii="Times New Roman" w:hAnsi="Times New Roman" w:eastAsia="仿宋_GB2312" w:cs="Times New Roman"/>
          <w:kern w:val="0"/>
          <w:sz w:val="32"/>
          <w:szCs w:val="32"/>
        </w:rPr>
        <w:t>3.00万</w:t>
      </w:r>
      <w:r>
        <w:rPr>
          <w:rFonts w:ascii="Times New Roman" w:hAnsi="Times New Roman" w:eastAsia="仿宋_GB2312" w:cs="Times New Roman"/>
          <w:kern w:val="0"/>
          <w:sz w:val="32"/>
          <w:szCs w:val="32"/>
        </w:rPr>
        <w:t>元，支出决算为</w:t>
      </w:r>
      <w:r>
        <w:rPr>
          <w:rFonts w:hint="eastAsia" w:ascii="Times New Roman" w:hAnsi="Times New Roman" w:eastAsia="仿宋_GB2312" w:cs="Times New Roman"/>
          <w:kern w:val="0"/>
          <w:sz w:val="32"/>
          <w:szCs w:val="32"/>
        </w:rPr>
        <w:t>2.97万</w:t>
      </w:r>
      <w:r>
        <w:rPr>
          <w:rFonts w:ascii="Times New Roman" w:hAnsi="Times New Roman" w:eastAsia="仿宋_GB2312" w:cs="Times New Roman"/>
          <w:kern w:val="0"/>
          <w:sz w:val="32"/>
          <w:szCs w:val="32"/>
        </w:rPr>
        <w:t>元，完成预算的</w:t>
      </w:r>
      <w:r>
        <w:rPr>
          <w:rFonts w:hint="eastAsia" w:ascii="Times New Roman" w:hAnsi="Times New Roman" w:eastAsia="仿宋_GB2312" w:cs="Times New Roman"/>
          <w:kern w:val="0"/>
          <w:sz w:val="32"/>
          <w:szCs w:val="32"/>
        </w:rPr>
        <w:t>99.00</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。基本支出为</w:t>
      </w:r>
      <w:r>
        <w:rPr>
          <w:rFonts w:hint="eastAsia" w:ascii="Times New Roman" w:hAnsi="Times New Roman" w:eastAsia="仿宋_GB2312" w:cs="Times New Roman"/>
          <w:kern w:val="0"/>
          <w:sz w:val="32"/>
          <w:szCs w:val="32"/>
          <w:lang w:val="en-US" w:eastAsia="zh-CN"/>
        </w:rPr>
        <w:t>0元，</w:t>
      </w:r>
      <w:r>
        <w:rPr>
          <w:rFonts w:hint="eastAsia" w:ascii="Times New Roman" w:hAnsi="Times New Roman" w:eastAsia="仿宋_GB2312" w:cs="Times New Roman"/>
          <w:kern w:val="0"/>
          <w:sz w:val="32"/>
          <w:szCs w:val="32"/>
          <w:lang w:eastAsia="zh-CN"/>
        </w:rPr>
        <w:t>办班教学和场馆运营项目中支出为</w:t>
      </w:r>
      <w:r>
        <w:rPr>
          <w:rFonts w:hint="eastAsia" w:ascii="Times New Roman" w:hAnsi="Times New Roman" w:eastAsia="仿宋_GB2312" w:cs="Times New Roman"/>
          <w:kern w:val="0"/>
          <w:sz w:val="32"/>
          <w:szCs w:val="32"/>
          <w:lang w:val="en-US" w:eastAsia="zh-CN"/>
        </w:rPr>
        <w:t>2.97万元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支出决算数小于预算数的主要原因是：严格执行中央八项规定，厉行勤俭节约政策，严格</w:t>
      </w:r>
      <w:r>
        <w:rPr>
          <w:rFonts w:hint="eastAsia" w:ascii="Times New Roman" w:hAnsi="Times New Roman" w:eastAsia="仿宋_GB2312" w:cs="Times New Roman"/>
          <w:kern w:val="0"/>
          <w:sz w:val="32"/>
          <w:szCs w:val="32"/>
          <w:lang w:eastAsia="zh-CN"/>
        </w:rPr>
        <w:t>遵守</w:t>
      </w:r>
      <w:r>
        <w:rPr>
          <w:rFonts w:hint="eastAsia" w:ascii="Times New Roman" w:hAnsi="Times New Roman" w:eastAsia="仿宋_GB2312" w:cs="Times New Roman"/>
          <w:kern w:val="0"/>
          <w:sz w:val="32"/>
          <w:szCs w:val="32"/>
        </w:rPr>
        <w:t>公车出行的有关政策、标准；与上年相比增加0.76万元，增长34.39%，决算数较上年增加的主要原因是：2023年疫情影响减少，青少年宫培训、活动增加，公车出行次数增加。</w:t>
      </w:r>
    </w:p>
    <w:p>
      <w:pPr>
        <w:pStyle w:val="20"/>
        <w:keepLines w:val="0"/>
        <w:pageBreakBefore w:val="0"/>
        <w:kinsoku/>
        <w:wordWrap/>
        <w:overflowPunct/>
        <w:topLinePunct w:val="0"/>
        <w:bidi w:val="0"/>
        <w:spacing w:line="560" w:lineRule="exact"/>
        <w:ind w:left="420" w:leftChars="200"/>
        <w:textAlignment w:val="auto"/>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pPr>
        <w:pStyle w:val="2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sz w:val="32"/>
          <w:szCs w:val="32"/>
        </w:rPr>
        <w:t>2023年度“三公”经费财政拨款支出决算中，公务接待费支出决算</w:t>
      </w:r>
      <w:r>
        <w:rPr>
          <w:rFonts w:hint="eastAsia" w:ascii="Times New Roman" w:hAnsi="Times New Roman" w:eastAsia="仿宋_GB2312" w:cs="Times New Roman"/>
          <w:color w:val="auto"/>
          <w:sz w:val="32"/>
          <w:szCs w:val="32"/>
        </w:rPr>
        <w:t>0.35</w:t>
      </w:r>
      <w:r>
        <w:rPr>
          <w:rFonts w:hint="eastAsia" w:ascii="Times New Roman" w:hAnsi="Times New Roman" w:eastAsia="仿宋_GB2312"/>
          <w:sz w:val="32"/>
          <w:szCs w:val="32"/>
        </w:rPr>
        <w:t>万元，占</w:t>
      </w:r>
      <w:r>
        <w:rPr>
          <w:rFonts w:hint="eastAsia" w:ascii="Times New Roman" w:hAnsi="Times New Roman" w:eastAsia="仿宋_GB2312" w:cs="Times New Roman"/>
          <w:color w:val="auto"/>
          <w:sz w:val="32"/>
          <w:szCs w:val="32"/>
        </w:rPr>
        <w:t>10.54</w:t>
      </w:r>
      <w:r>
        <w:rPr>
          <w:rFonts w:hint="eastAsia" w:ascii="Times New Roman" w:hAnsi="Times New Roman" w:eastAsia="仿宋_GB2312"/>
          <w:sz w:val="32"/>
          <w:szCs w:val="32"/>
        </w:rPr>
        <w:t>%,因公出国（境）费支出决算</w:t>
      </w:r>
      <w:r>
        <w:rPr>
          <w:rFonts w:hint="eastAsia" w:ascii="Times New Roman" w:hAnsi="Times New Roman" w:eastAsia="仿宋_GB2312" w:cs="Times New Roman"/>
          <w:color w:val="auto"/>
          <w:sz w:val="32"/>
          <w:szCs w:val="32"/>
        </w:rPr>
        <w:t>0.00</w:t>
      </w:r>
      <w:r>
        <w:rPr>
          <w:rFonts w:hint="eastAsia" w:ascii="Times New Roman" w:hAnsi="Times New Roman" w:eastAsia="仿宋_GB2312"/>
          <w:sz w:val="32"/>
          <w:szCs w:val="32"/>
        </w:rPr>
        <w:t>万元，占</w:t>
      </w:r>
      <w:r>
        <w:rPr>
          <w:rFonts w:hint="eastAsia" w:ascii="Times New Roman" w:hAnsi="Times New Roman" w:eastAsia="仿宋_GB2312" w:cs="Times New Roman"/>
          <w:color w:val="auto"/>
          <w:sz w:val="32"/>
          <w:szCs w:val="32"/>
        </w:rPr>
        <w:t>0.00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cs="Times New Roman"/>
          <w:color w:val="auto"/>
          <w:sz w:val="32"/>
          <w:szCs w:val="32"/>
        </w:rPr>
        <w:t>2.97</w:t>
      </w:r>
      <w:r>
        <w:rPr>
          <w:rFonts w:hint="eastAsia" w:ascii="Times New Roman" w:hAnsi="Times New Roman" w:eastAsia="仿宋_GB2312"/>
          <w:sz w:val="32"/>
          <w:szCs w:val="32"/>
        </w:rPr>
        <w:t>万元，占</w:t>
      </w:r>
      <w:r>
        <w:rPr>
          <w:rFonts w:hint="eastAsia" w:ascii="Times New Roman" w:hAnsi="Times New Roman" w:eastAsia="仿宋_GB2312" w:cs="Times New Roman"/>
          <w:color w:val="auto"/>
          <w:sz w:val="32"/>
          <w:szCs w:val="32"/>
        </w:rPr>
        <w:t>89.46</w:t>
      </w:r>
      <w:r>
        <w:rPr>
          <w:rFonts w:hint="eastAsia" w:ascii="Times New Roman" w:hAnsi="Times New Roman" w:eastAsia="仿宋_GB2312"/>
          <w:sz w:val="32"/>
          <w:szCs w:val="32"/>
        </w:rPr>
        <w:t>%。其中：</w:t>
      </w:r>
    </w:p>
    <w:p>
      <w:pPr>
        <w:pStyle w:val="20"/>
        <w:keepLines w:val="0"/>
        <w:pageBreakBefore w:val="0"/>
        <w:kinsoku/>
        <w:wordWrap/>
        <w:overflowPunct/>
        <w:topLinePunct w:val="0"/>
        <w:bidi w:val="0"/>
        <w:spacing w:line="560" w:lineRule="exact"/>
        <w:ind w:firstLine="627" w:firstLineChars="196"/>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w:t>
      </w:r>
      <w:r>
        <w:rPr>
          <w:rFonts w:hint="eastAsia" w:ascii="Times New Roman" w:hAnsi="Times New Roman" w:eastAsia="仿宋_GB2312"/>
          <w:sz w:val="32"/>
          <w:szCs w:val="32"/>
        </w:rPr>
        <w:t>因公出国（境）费支出决算</w:t>
      </w:r>
      <w:r>
        <w:rPr>
          <w:rFonts w:hint="eastAsia" w:ascii="Times New Roman" w:hAnsi="Times New Roman" w:eastAsia="仿宋_GB2312" w:cs="Times New Roman"/>
          <w:color w:val="auto"/>
          <w:sz w:val="32"/>
          <w:szCs w:val="32"/>
        </w:rPr>
        <w:t>0.00</w:t>
      </w:r>
      <w:r>
        <w:rPr>
          <w:rFonts w:hint="eastAsia" w:ascii="Times New Roman" w:hAnsi="Times New Roman" w:eastAsia="仿宋_GB2312"/>
          <w:sz w:val="32"/>
          <w:szCs w:val="32"/>
        </w:rPr>
        <w:t>万元全年</w:t>
      </w:r>
      <w:r>
        <w:rPr>
          <w:rFonts w:ascii="Times New Roman" w:hAnsi="Times New Roman" w:eastAsia="仿宋_GB2312" w:cs="Times New Roman"/>
          <w:color w:val="auto"/>
          <w:sz w:val="32"/>
          <w:szCs w:val="32"/>
        </w:rPr>
        <w:t>因公出国（境）团组数</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个，累计</w:t>
      </w:r>
      <w:r>
        <w:rPr>
          <w:rFonts w:hint="eastAsia" w:ascii="Times New Roman" w:hAnsi="Times New Roman" w:eastAsia="仿宋_GB2312" w:cs="Times New Roman"/>
          <w:color w:val="auto"/>
          <w:sz w:val="32"/>
          <w:szCs w:val="32"/>
        </w:rPr>
        <w:t>0</w:t>
      </w:r>
      <w:r>
        <w:rPr>
          <w:rFonts w:ascii="Times New Roman" w:hAnsi="Times New Roman" w:eastAsia="仿宋_GB2312" w:cs="Times New Roman"/>
          <w:color w:val="auto"/>
          <w:sz w:val="32"/>
          <w:szCs w:val="32"/>
        </w:rPr>
        <w:t>人次。主要用于开展以下工作：</w:t>
      </w:r>
      <w:r>
        <w:rPr>
          <w:rFonts w:hint="eastAsia" w:ascii="Times New Roman" w:hAnsi="Times New Roman" w:eastAsia="仿宋_GB2312" w:cs="Times New Roman"/>
          <w:color w:val="auto"/>
          <w:sz w:val="32"/>
          <w:szCs w:val="32"/>
        </w:rPr>
        <w:t>2023年未产生因公出国（境）费用，因公出国（境）团组0个，累计0人次。</w:t>
      </w:r>
    </w:p>
    <w:p>
      <w:pPr>
        <w:pStyle w:val="2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2、公务</w:t>
      </w:r>
      <w:r>
        <w:rPr>
          <w:rFonts w:ascii="Times New Roman" w:hAnsi="Times New Roman" w:eastAsia="仿宋_GB2312" w:cs="Times New Roman"/>
          <w:color w:val="auto"/>
          <w:sz w:val="32"/>
          <w:szCs w:val="32"/>
        </w:rPr>
        <w:t>接待费支出</w:t>
      </w:r>
      <w:r>
        <w:rPr>
          <w:rFonts w:hint="eastAsia" w:ascii="Times New Roman" w:hAnsi="Times New Roman" w:eastAsia="仿宋_GB2312" w:cs="Times New Roman"/>
          <w:color w:val="auto"/>
          <w:sz w:val="32"/>
          <w:szCs w:val="32"/>
        </w:rPr>
        <w:t>决算数为0.35万</w:t>
      </w:r>
      <w:r>
        <w:rPr>
          <w:rFonts w:ascii="Times New Roman" w:hAnsi="Times New Roman" w:eastAsia="仿宋_GB2312" w:cs="Times New Roman"/>
          <w:color w:val="auto"/>
          <w:sz w:val="32"/>
          <w:szCs w:val="32"/>
        </w:rPr>
        <w:t>元，</w:t>
      </w:r>
      <w:r>
        <w:rPr>
          <w:rFonts w:hint="eastAsia" w:ascii="Times New Roman" w:hAnsi="Times New Roman" w:eastAsia="仿宋_GB2312"/>
          <w:sz w:val="32"/>
          <w:szCs w:val="32"/>
        </w:rPr>
        <w:t>全年共接待来访团组</w:t>
      </w:r>
      <w:r>
        <w:rPr>
          <w:rFonts w:hint="eastAsia" w:ascii="Times New Roman" w:hAnsi="Times New Roman" w:eastAsia="仿宋_GB2312" w:cs="Times New Roman"/>
          <w:color w:val="auto"/>
          <w:sz w:val="32"/>
          <w:szCs w:val="32"/>
        </w:rPr>
        <w:t>3</w:t>
      </w:r>
      <w:r>
        <w:rPr>
          <w:rFonts w:hint="eastAsia" w:ascii="Times New Roman" w:hAnsi="Times New Roman" w:eastAsia="仿宋_GB2312"/>
          <w:sz w:val="32"/>
          <w:szCs w:val="32"/>
        </w:rPr>
        <w:t>个</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来宾</w:t>
      </w:r>
      <w:r>
        <w:rPr>
          <w:rFonts w:hint="eastAsia" w:ascii="Times New Roman" w:hAnsi="Times New Roman" w:eastAsia="仿宋_GB2312" w:cs="Times New Roman"/>
          <w:color w:val="auto"/>
          <w:sz w:val="32"/>
          <w:szCs w:val="32"/>
        </w:rPr>
        <w:t>19</w:t>
      </w:r>
      <w:r>
        <w:rPr>
          <w:rFonts w:hint="eastAsia" w:ascii="Times New Roman" w:hAnsi="Times New Roman" w:eastAsia="仿宋_GB2312"/>
          <w:sz w:val="32"/>
          <w:szCs w:val="32"/>
        </w:rPr>
        <w:t>人次，主要是</w:t>
      </w:r>
      <w:r>
        <w:rPr>
          <w:rFonts w:hint="eastAsia" w:ascii="Times New Roman" w:hAnsi="Times New Roman" w:eastAsia="仿宋_GB2312" w:cs="Times New Roman"/>
          <w:color w:val="auto"/>
          <w:sz w:val="32"/>
          <w:szCs w:val="32"/>
        </w:rPr>
        <w:t>接待用餐</w:t>
      </w:r>
      <w:r>
        <w:rPr>
          <w:rFonts w:hint="eastAsia" w:ascii="Times New Roman" w:hAnsi="Times New Roman" w:eastAsia="仿宋_GB2312"/>
          <w:sz w:val="32"/>
          <w:szCs w:val="32"/>
        </w:rPr>
        <w:t>发生的接待支出。</w:t>
      </w:r>
    </w:p>
    <w:p>
      <w:pPr>
        <w:keepLines w:val="0"/>
        <w:pageBreakBefore w:val="0"/>
        <w:kinsoku/>
        <w:wordWrap/>
        <w:overflowPunct/>
        <w:topLinePunct w:val="0"/>
        <w:bidi w:val="0"/>
        <w:spacing w:line="560" w:lineRule="exact"/>
        <w:ind w:firstLine="800" w:firstLineChars="250"/>
        <w:textAlignment w:val="auto"/>
      </w:pPr>
      <w:r>
        <w:rPr>
          <w:rFonts w:hint="eastAsia" w:ascii="Times New Roman" w:hAnsi="Times New Roman" w:eastAsia="仿宋_GB2312" w:cs="Times New Roman"/>
          <w:kern w:val="0"/>
          <w:sz w:val="32"/>
          <w:szCs w:val="32"/>
        </w:rPr>
        <w:t>3、</w:t>
      </w:r>
      <w:r>
        <w:rPr>
          <w:rFonts w:hint="eastAsia" w:ascii="Times New Roman" w:hAnsi="Times New Roman" w:eastAsia="仿宋_GB2312"/>
          <w:sz w:val="32"/>
          <w:szCs w:val="32"/>
        </w:rPr>
        <w:t>公务用车购置费及运行维护费支出决算为</w:t>
      </w:r>
      <w:r>
        <w:rPr>
          <w:rFonts w:hint="eastAsia" w:ascii="Times New Roman" w:hAnsi="Times New Roman" w:eastAsia="仿宋_GB2312" w:cs="Times New Roman"/>
          <w:kern w:val="0"/>
          <w:sz w:val="32"/>
          <w:szCs w:val="32"/>
        </w:rPr>
        <w:t>2.97</w:t>
      </w:r>
      <w:r>
        <w:rPr>
          <w:rFonts w:hint="eastAsia" w:ascii="Times New Roman" w:hAnsi="Times New Roman" w:eastAsia="仿宋_GB2312"/>
          <w:sz w:val="32"/>
          <w:szCs w:val="32"/>
        </w:rPr>
        <w:t>万元，其中：公务用车购置费</w:t>
      </w:r>
      <w:r>
        <w:rPr>
          <w:rFonts w:hint="eastAsia" w:ascii="Times New Roman" w:hAnsi="Times New Roman" w:eastAsia="仿宋_GB2312" w:cs="Times New Roman"/>
          <w:kern w:val="0"/>
          <w:sz w:val="32"/>
          <w:szCs w:val="32"/>
        </w:rPr>
        <w:t>0.00</w:t>
      </w:r>
      <w:r>
        <w:rPr>
          <w:rFonts w:hint="eastAsia" w:ascii="Times New Roman" w:hAnsi="Times New Roman" w:eastAsia="仿宋_GB2312"/>
          <w:sz w:val="32"/>
          <w:szCs w:val="32"/>
        </w:rPr>
        <w:t>万元，</w:t>
      </w:r>
      <w:r>
        <w:rPr>
          <w:rFonts w:hint="eastAsia" w:ascii="Times New Roman" w:hAnsi="Times New Roman" w:eastAsia="仿宋_GB2312" w:cs="Times New Roman"/>
          <w:kern w:val="0"/>
          <w:sz w:val="32"/>
          <w:szCs w:val="32"/>
        </w:rPr>
        <w:t>长沙市青少年宫</w:t>
      </w:r>
      <w:r>
        <w:rPr>
          <w:rFonts w:hint="eastAsia" w:ascii="Times New Roman" w:hAnsi="Times New Roman" w:eastAsia="仿宋_GB2312"/>
          <w:sz w:val="32"/>
          <w:szCs w:val="32"/>
        </w:rPr>
        <w:t>（单位本级或某二级机构）更新公务用车</w:t>
      </w:r>
      <w:r>
        <w:rPr>
          <w:rFonts w:hint="eastAsia" w:ascii="Times New Roman" w:hAnsi="Times New Roman" w:eastAsia="仿宋_GB2312" w:cs="Times New Roman"/>
          <w:kern w:val="0"/>
          <w:sz w:val="32"/>
          <w:szCs w:val="32"/>
        </w:rPr>
        <w:t>0辆</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cs="Times New Roman"/>
          <w:kern w:val="0"/>
          <w:sz w:val="32"/>
          <w:szCs w:val="32"/>
        </w:rPr>
        <w:t>2.97</w:t>
      </w:r>
      <w:r>
        <w:rPr>
          <w:rFonts w:hint="eastAsia" w:ascii="Times New Roman" w:hAnsi="Times New Roman" w:eastAsia="仿宋_GB2312"/>
          <w:sz w:val="32"/>
          <w:szCs w:val="32"/>
        </w:rPr>
        <w:t>万元，主要是</w:t>
      </w:r>
      <w:r>
        <w:rPr>
          <w:rFonts w:hint="eastAsia" w:ascii="Times New Roman" w:hAnsi="Times New Roman" w:eastAsia="仿宋_GB2312" w:cs="Times New Roman"/>
          <w:kern w:val="0"/>
          <w:sz w:val="32"/>
          <w:szCs w:val="32"/>
        </w:rPr>
        <w:t>公务用车燃料费、维修费、保险费、过路（桥）费等</w:t>
      </w:r>
      <w:r>
        <w:rPr>
          <w:rFonts w:hint="eastAsia" w:ascii="Times New Roman" w:hAnsi="Times New Roman" w:eastAsia="仿宋_GB2312"/>
          <w:sz w:val="32"/>
          <w:szCs w:val="32"/>
        </w:rPr>
        <w:t>支出，截止2023年12月31日，我单位开支财政拨款的公务用车保有量为</w:t>
      </w:r>
      <w:r>
        <w:rPr>
          <w:rFonts w:hint="eastAsia" w:ascii="Times New Roman" w:hAnsi="Times New Roman" w:eastAsia="仿宋_GB2312" w:cs="Times New Roman"/>
          <w:kern w:val="0"/>
          <w:sz w:val="32"/>
          <w:szCs w:val="32"/>
        </w:rPr>
        <w:t>1</w:t>
      </w:r>
      <w:r>
        <w:rPr>
          <w:rFonts w:hint="eastAsia" w:ascii="Times New Roman" w:hAnsi="Times New Roman" w:eastAsia="仿宋_GB2312"/>
          <w:sz w:val="32"/>
          <w:szCs w:val="32"/>
        </w:rPr>
        <w:t>辆。</w:t>
      </w:r>
    </w:p>
    <w:p>
      <w:pPr>
        <w:keepLines w:val="0"/>
        <w:pageBreakBefore w:val="0"/>
        <w:kinsoku/>
        <w:wordWrap/>
        <w:overflowPunct/>
        <w:topLinePunct w:val="0"/>
        <w:bidi w:val="0"/>
        <w:spacing w:line="560" w:lineRule="exact"/>
        <w:ind w:firstLine="640" w:firstLineChars="200"/>
        <w:textAlignment w:val="auto"/>
        <w:outlineLvl w:val="1"/>
        <w:rPr>
          <w:rFonts w:ascii="黑体" w:hAnsi="黑体" w:eastAsia="黑体" w:cs="黑体"/>
          <w:kern w:val="0"/>
          <w:sz w:val="32"/>
          <w:szCs w:val="32"/>
        </w:rPr>
      </w:pPr>
      <w:r>
        <w:rPr>
          <w:rFonts w:hint="eastAsia" w:ascii="黑体" w:hAnsi="黑体" w:eastAsia="黑体" w:cs="黑体"/>
          <w:kern w:val="0"/>
          <w:sz w:val="32"/>
          <w:szCs w:val="32"/>
        </w:rPr>
        <w:t>八、政府性基金预算收入支出决算情况</w:t>
      </w:r>
    </w:p>
    <w:p>
      <w:pPr>
        <w:pStyle w:val="2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Arial"/>
          <w:color w:val="auto"/>
          <w:kern w:val="2"/>
          <w:sz w:val="32"/>
          <w:szCs w:val="32"/>
        </w:rPr>
      </w:pPr>
      <w:r>
        <w:rPr>
          <w:rFonts w:ascii="Times New Roman" w:hAnsi="Times New Roman" w:eastAsia="仿宋_GB2312" w:cs="Arial"/>
          <w:color w:val="auto"/>
          <w:kern w:val="2"/>
          <w:sz w:val="32"/>
          <w:szCs w:val="32"/>
        </w:rPr>
        <w:t>2023年度政府性基金预算财政拨款收入</w:t>
      </w:r>
      <w:r>
        <w:rPr>
          <w:rFonts w:hint="eastAsia" w:ascii="Times New Roman" w:hAnsi="Times New Roman" w:eastAsia="仿宋_GB2312" w:cs="Arial"/>
          <w:color w:val="auto"/>
          <w:kern w:val="2"/>
          <w:sz w:val="32"/>
          <w:szCs w:val="32"/>
        </w:rPr>
        <w:t>0.00万</w:t>
      </w:r>
      <w:r>
        <w:rPr>
          <w:rFonts w:ascii="Times New Roman" w:hAnsi="Times New Roman" w:eastAsia="仿宋_GB2312" w:cs="Arial"/>
          <w:color w:val="auto"/>
          <w:kern w:val="2"/>
          <w:sz w:val="32"/>
          <w:szCs w:val="32"/>
        </w:rPr>
        <w:t>元</w:t>
      </w:r>
      <w:r>
        <w:rPr>
          <w:rFonts w:hint="eastAsia" w:ascii="Times New Roman" w:hAnsi="Times New Roman" w:eastAsia="仿宋_GB2312" w:cs="Arial"/>
          <w:color w:val="auto"/>
          <w:kern w:val="2"/>
          <w:sz w:val="32"/>
          <w:szCs w:val="32"/>
        </w:rPr>
        <w:t>;年初结转和结余0.00万元；</w:t>
      </w:r>
      <w:r>
        <w:rPr>
          <w:rFonts w:ascii="Times New Roman" w:hAnsi="Times New Roman" w:eastAsia="仿宋_GB2312" w:cs="Arial"/>
          <w:color w:val="auto"/>
          <w:kern w:val="2"/>
          <w:sz w:val="32"/>
          <w:szCs w:val="32"/>
        </w:rPr>
        <w:t>支出</w:t>
      </w:r>
      <w:r>
        <w:rPr>
          <w:rFonts w:hint="eastAsia" w:ascii="Times New Roman" w:hAnsi="Times New Roman" w:eastAsia="仿宋_GB2312" w:cs="Arial"/>
          <w:color w:val="auto"/>
          <w:kern w:val="2"/>
          <w:sz w:val="32"/>
          <w:szCs w:val="32"/>
        </w:rPr>
        <w:t>0.00万</w:t>
      </w:r>
      <w:r>
        <w:rPr>
          <w:rFonts w:ascii="Times New Roman" w:hAnsi="Times New Roman" w:eastAsia="仿宋_GB2312" w:cs="Arial"/>
          <w:color w:val="auto"/>
          <w:kern w:val="2"/>
          <w:sz w:val="32"/>
          <w:szCs w:val="32"/>
        </w:rPr>
        <w:t>元，</w:t>
      </w:r>
      <w:r>
        <w:rPr>
          <w:rFonts w:hint="eastAsia" w:ascii="Times New Roman" w:hAnsi="Times New Roman" w:eastAsia="仿宋_GB2312" w:cs="Arial"/>
          <w:color w:val="auto"/>
          <w:kern w:val="2"/>
          <w:sz w:val="32"/>
          <w:szCs w:val="32"/>
        </w:rPr>
        <w:t>其中基本支出0.00万元，项目支出0.00万元；</w:t>
      </w:r>
      <w:r>
        <w:rPr>
          <w:rFonts w:ascii="Times New Roman" w:hAnsi="Times New Roman" w:eastAsia="仿宋_GB2312" w:cs="Arial"/>
          <w:color w:val="auto"/>
          <w:kern w:val="2"/>
          <w:sz w:val="32"/>
          <w:szCs w:val="32"/>
        </w:rPr>
        <w:t>年末结转和结余</w:t>
      </w:r>
      <w:r>
        <w:rPr>
          <w:rFonts w:hint="eastAsia" w:ascii="Times New Roman" w:hAnsi="Times New Roman" w:eastAsia="仿宋_GB2312" w:cs="Arial"/>
          <w:color w:val="auto"/>
          <w:kern w:val="2"/>
          <w:sz w:val="32"/>
          <w:szCs w:val="32"/>
        </w:rPr>
        <w:t>0.00万</w:t>
      </w:r>
      <w:r>
        <w:rPr>
          <w:rFonts w:ascii="Times New Roman" w:hAnsi="Times New Roman" w:eastAsia="仿宋_GB2312" w:cs="Arial"/>
          <w:color w:val="auto"/>
          <w:kern w:val="2"/>
          <w:sz w:val="32"/>
          <w:szCs w:val="32"/>
        </w:rPr>
        <w:t>元。</w:t>
      </w:r>
      <w:r>
        <w:rPr>
          <w:rFonts w:hint="eastAsia" w:ascii="Times New Roman" w:hAnsi="Times New Roman" w:eastAsia="仿宋_GB2312" w:cs="Arial"/>
          <w:color w:val="auto"/>
          <w:kern w:val="2"/>
          <w:sz w:val="32"/>
          <w:szCs w:val="32"/>
        </w:rPr>
        <w:t>具体情况如下：本单位无政府性基金收支。</w:t>
      </w:r>
    </w:p>
    <w:p>
      <w:pPr>
        <w:pStyle w:val="20"/>
        <w:keepLines w:val="0"/>
        <w:pageBreakBefore w:val="0"/>
        <w:kinsoku/>
        <w:wordWrap/>
        <w:overflowPunct/>
        <w:topLinePunct w:val="0"/>
        <w:bidi w:val="0"/>
        <w:spacing w:line="560" w:lineRule="exact"/>
        <w:ind w:firstLine="640" w:firstLineChars="200"/>
        <w:textAlignment w:val="auto"/>
        <w:outlineLvl w:val="1"/>
        <w:rPr>
          <w:rFonts w:ascii="黑体" w:hAnsi="黑体" w:eastAsia="黑体" w:cs="黑体"/>
          <w:color w:val="auto"/>
          <w:sz w:val="32"/>
          <w:szCs w:val="32"/>
        </w:rPr>
      </w:pPr>
      <w:r>
        <w:rPr>
          <w:rFonts w:hint="eastAsia" w:ascii="黑体" w:hAnsi="黑体" w:eastAsia="黑体" w:cs="黑体"/>
          <w:color w:val="auto"/>
          <w:sz w:val="32"/>
          <w:szCs w:val="32"/>
        </w:rPr>
        <w:t>九、国有资本经营预算收入支出情况</w:t>
      </w:r>
    </w:p>
    <w:p>
      <w:pPr>
        <w:pStyle w:val="20"/>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黑体"/>
          <w:sz w:val="32"/>
          <w:szCs w:val="32"/>
        </w:rPr>
      </w:pPr>
      <w:r>
        <w:rPr>
          <w:rFonts w:ascii="Times New Roman" w:hAnsi="Times New Roman" w:eastAsia="仿宋_GB2312" w:cs="黑体"/>
          <w:sz w:val="32"/>
          <w:szCs w:val="32"/>
        </w:rPr>
        <w:t>2023年度国有资本经营预算财政拨款本年收入</w:t>
      </w:r>
      <w:r>
        <w:rPr>
          <w:rFonts w:hint="eastAsia" w:ascii="Times New Roman" w:hAnsi="Times New Roman" w:eastAsia="仿宋_GB2312" w:cs="黑体"/>
          <w:sz w:val="32"/>
          <w:szCs w:val="32"/>
        </w:rPr>
        <w:t>0.00万</w:t>
      </w:r>
      <w:r>
        <w:rPr>
          <w:rFonts w:ascii="Times New Roman" w:hAnsi="Times New Roman" w:eastAsia="仿宋_GB2312" w:cs="黑体"/>
          <w:sz w:val="32"/>
          <w:szCs w:val="32"/>
        </w:rPr>
        <w:t>元</w:t>
      </w:r>
      <w:r>
        <w:rPr>
          <w:rFonts w:hint="eastAsia" w:ascii="Times New Roman" w:hAnsi="Times New Roman" w:eastAsia="仿宋_GB2312" w:cs="黑体"/>
          <w:sz w:val="32"/>
          <w:szCs w:val="32"/>
        </w:rPr>
        <w:t>；</w:t>
      </w:r>
      <w:r>
        <w:rPr>
          <w:rFonts w:hint="eastAsia" w:ascii="Times New Roman" w:hAnsi="Times New Roman" w:eastAsia="仿宋_GB2312"/>
          <w:sz w:val="32"/>
          <w:szCs w:val="32"/>
        </w:rPr>
        <w:t xml:space="preserve">年初结转和结余 </w:t>
      </w:r>
      <w:r>
        <w:rPr>
          <w:rFonts w:hint="eastAsia" w:ascii="Times New Roman" w:hAnsi="Times New Roman" w:eastAsia="仿宋_GB2312" w:cs="黑体"/>
          <w:sz w:val="32"/>
          <w:szCs w:val="32"/>
        </w:rPr>
        <w:t>0.00</w:t>
      </w:r>
      <w:r>
        <w:rPr>
          <w:rFonts w:hint="eastAsia" w:ascii="Times New Roman" w:hAnsi="Times New Roman" w:eastAsia="仿宋_GB2312"/>
          <w:sz w:val="32"/>
          <w:szCs w:val="32"/>
        </w:rPr>
        <w:t>万元；</w:t>
      </w:r>
      <w:r>
        <w:rPr>
          <w:rFonts w:ascii="Times New Roman" w:hAnsi="Times New Roman" w:eastAsia="仿宋_GB2312" w:cs="黑体"/>
          <w:sz w:val="32"/>
          <w:szCs w:val="32"/>
        </w:rPr>
        <w:t>支出</w:t>
      </w:r>
      <w:r>
        <w:rPr>
          <w:rFonts w:hint="eastAsia" w:ascii="Times New Roman" w:hAnsi="Times New Roman" w:eastAsia="仿宋_GB2312" w:cs="黑体"/>
          <w:sz w:val="32"/>
          <w:szCs w:val="32"/>
        </w:rPr>
        <w:t>0.00万</w:t>
      </w:r>
      <w:r>
        <w:rPr>
          <w:rFonts w:ascii="Times New Roman" w:hAnsi="Times New Roman" w:eastAsia="仿宋_GB2312" w:cs="黑体"/>
          <w:sz w:val="32"/>
          <w:szCs w:val="32"/>
        </w:rPr>
        <w:t>元，年末结转和结余</w:t>
      </w:r>
      <w:r>
        <w:rPr>
          <w:rFonts w:hint="eastAsia" w:ascii="Times New Roman" w:hAnsi="Times New Roman" w:eastAsia="仿宋_GB2312" w:cs="黑体"/>
          <w:sz w:val="32"/>
          <w:szCs w:val="32"/>
        </w:rPr>
        <w:t>0.00</w:t>
      </w:r>
      <w:bookmarkStart w:id="0" w:name="_GoBack"/>
      <w:bookmarkEnd w:id="0"/>
      <w:r>
        <w:rPr>
          <w:rFonts w:ascii="Times New Roman" w:hAnsi="Times New Roman" w:eastAsia="仿宋_GB2312" w:cs="黑体"/>
          <w:sz w:val="32"/>
          <w:szCs w:val="32"/>
        </w:rPr>
        <w:t>元。</w:t>
      </w:r>
      <w:r>
        <w:rPr>
          <w:rFonts w:hint="eastAsia" w:ascii="Times New Roman" w:hAnsi="Times New Roman" w:eastAsia="仿宋_GB2312" w:cs="黑体"/>
          <w:sz w:val="32"/>
          <w:szCs w:val="32"/>
        </w:rPr>
        <w:t>具体情况如下：本单位无国有资本经营收支。</w:t>
      </w:r>
    </w:p>
    <w:p>
      <w:pPr>
        <w:pStyle w:val="7"/>
        <w:keepLines w:val="0"/>
        <w:pageBreakBefore w:val="0"/>
        <w:kinsoku/>
        <w:wordWrap/>
        <w:overflowPunct/>
        <w:topLinePunct w:val="0"/>
        <w:bidi w:val="0"/>
        <w:spacing w:before="0" w:after="0" w:line="560" w:lineRule="exact"/>
        <w:ind w:firstLine="640" w:firstLineChars="200"/>
        <w:textAlignment w:val="auto"/>
        <w:rPr>
          <w:rFonts w:ascii="黑体" w:hAnsi="黑体" w:cs="黑体"/>
          <w:b w:val="0"/>
          <w:kern w:val="0"/>
          <w:szCs w:val="32"/>
        </w:rPr>
      </w:pPr>
      <w:r>
        <w:rPr>
          <w:rFonts w:hint="eastAsia" w:ascii="黑体" w:hAnsi="黑体" w:cs="黑体"/>
          <w:b w:val="0"/>
          <w:kern w:val="0"/>
          <w:szCs w:val="32"/>
        </w:rPr>
        <w:t>十、关于机关运行经费支出说明</w:t>
      </w:r>
    </w:p>
    <w:p>
      <w:pPr>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黑体"/>
          <w:color w:val="000000"/>
          <w:kern w:val="0"/>
          <w:sz w:val="32"/>
          <w:szCs w:val="32"/>
        </w:rPr>
      </w:pPr>
      <w:r>
        <w:rPr>
          <w:rFonts w:ascii="Times New Roman" w:hAnsi="Times New Roman" w:eastAsia="仿宋_GB2312" w:cs="黑体"/>
          <w:color w:val="000000"/>
          <w:kern w:val="0"/>
          <w:sz w:val="32"/>
          <w:szCs w:val="32"/>
        </w:rPr>
        <w:t>本部门2023年度机关运行经费支出</w:t>
      </w:r>
      <w:r>
        <w:rPr>
          <w:rFonts w:hint="eastAsia" w:ascii="Times New Roman" w:hAnsi="Times New Roman" w:eastAsia="仿宋_GB2312" w:cs="黑体"/>
          <w:color w:val="000000"/>
          <w:kern w:val="0"/>
          <w:sz w:val="32"/>
          <w:szCs w:val="32"/>
        </w:rPr>
        <w:t>0.00万</w:t>
      </w:r>
      <w:r>
        <w:rPr>
          <w:rFonts w:ascii="Times New Roman" w:hAnsi="Times New Roman" w:eastAsia="仿宋_GB2312" w:cs="黑体"/>
          <w:color w:val="000000"/>
          <w:kern w:val="0"/>
          <w:sz w:val="32"/>
          <w:szCs w:val="32"/>
        </w:rPr>
        <w:t>元，</w:t>
      </w:r>
      <w:r>
        <w:rPr>
          <w:rFonts w:hint="eastAsia" w:ascii="Times New Roman" w:hAnsi="Times New Roman" w:eastAsia="仿宋_GB2312" w:cs="黑体"/>
          <w:color w:val="000000"/>
          <w:kern w:val="0"/>
          <w:sz w:val="32"/>
          <w:szCs w:val="32"/>
        </w:rPr>
        <w:t>比上年决算数持平</w:t>
      </w:r>
      <w:r>
        <w:rPr>
          <w:rFonts w:ascii="Times New Roman" w:hAnsi="Times New Roman" w:eastAsia="仿宋_GB2312" w:cs="黑体"/>
          <w:color w:val="000000"/>
          <w:kern w:val="0"/>
          <w:sz w:val="32"/>
          <w:szCs w:val="32"/>
        </w:rPr>
        <w:t>。主要原因是：</w:t>
      </w:r>
      <w:r>
        <w:rPr>
          <w:rFonts w:hint="eastAsia" w:ascii="Times New Roman" w:hAnsi="Times New Roman" w:eastAsia="仿宋_GB2312" w:cs="黑体"/>
          <w:kern w:val="0"/>
          <w:sz w:val="32"/>
          <w:szCs w:val="32"/>
        </w:rPr>
        <w:t>本部门为</w:t>
      </w:r>
      <w:r>
        <w:rPr>
          <w:rFonts w:hint="eastAsia" w:ascii="Times New Roman" w:hAnsi="Times New Roman" w:eastAsia="仿宋_GB2312" w:cs="黑体"/>
          <w:kern w:val="0"/>
          <w:sz w:val="32"/>
          <w:szCs w:val="32"/>
          <w:lang w:eastAsia="zh-CN"/>
        </w:rPr>
        <w:t>中国共产主义青年团长沙市委下属二级机构，公益二类（</w:t>
      </w:r>
      <w:r>
        <w:rPr>
          <w:rFonts w:hint="eastAsia" w:ascii="Times New Roman" w:hAnsi="Times New Roman" w:eastAsia="仿宋_GB2312" w:cs="黑体"/>
          <w:kern w:val="0"/>
          <w:sz w:val="32"/>
          <w:szCs w:val="32"/>
        </w:rPr>
        <w:t>差额拨款事业单位</w:t>
      </w:r>
      <w:r>
        <w:rPr>
          <w:rFonts w:hint="eastAsia" w:ascii="Times New Roman" w:hAnsi="Times New Roman" w:eastAsia="仿宋_GB2312" w:cs="黑体"/>
          <w:kern w:val="0"/>
          <w:sz w:val="32"/>
          <w:szCs w:val="32"/>
          <w:lang w:eastAsia="zh-CN"/>
        </w:rPr>
        <w:t>）</w:t>
      </w:r>
      <w:r>
        <w:rPr>
          <w:rFonts w:hint="eastAsia" w:ascii="Times New Roman" w:hAnsi="Times New Roman" w:eastAsia="仿宋_GB2312" w:cs="黑体"/>
          <w:kern w:val="0"/>
          <w:sz w:val="32"/>
          <w:szCs w:val="32"/>
        </w:rPr>
        <w:t>，无机关运行经费支出。</w:t>
      </w:r>
    </w:p>
    <w:p>
      <w:pPr>
        <w:pStyle w:val="20"/>
        <w:keepLines w:val="0"/>
        <w:pageBreakBefore w:val="0"/>
        <w:numPr>
          <w:ilvl w:val="0"/>
          <w:numId w:val="1"/>
        </w:numPr>
        <w:kinsoku/>
        <w:wordWrap/>
        <w:overflowPunct/>
        <w:topLinePunct w:val="0"/>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一般性支出情况说明</w:t>
      </w:r>
    </w:p>
    <w:p>
      <w:pPr>
        <w:pStyle w:val="20"/>
        <w:keepLines w:val="0"/>
        <w:pageBreakBefore w:val="0"/>
        <w:numPr>
          <w:ilvl w:val="0"/>
          <w:numId w:val="0"/>
        </w:numPr>
        <w:kinsoku/>
        <w:wordWrap/>
        <w:overflowPunct/>
        <w:topLinePunct w:val="0"/>
        <w:bidi w:val="0"/>
        <w:spacing w:line="560" w:lineRule="exac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（一）会议费</w:t>
      </w:r>
    </w:p>
    <w:p>
      <w:pPr>
        <w:pStyle w:val="2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黑体"/>
          <w:sz w:val="32"/>
          <w:szCs w:val="32"/>
          <w:lang w:eastAsia="zh-CN"/>
        </w:rPr>
      </w:pPr>
      <w:r>
        <w:rPr>
          <w:rFonts w:hint="eastAsia" w:ascii="Times New Roman" w:hAnsi="Times New Roman" w:eastAsia="仿宋_GB2312" w:cs="黑体"/>
          <w:sz w:val="32"/>
          <w:szCs w:val="32"/>
        </w:rPr>
        <w:t>2023年本部门开支会议费0.00万元，用于召开0场会议，人数0 人，内容为本单位2023年无会议费支出</w:t>
      </w:r>
      <w:r>
        <w:rPr>
          <w:rFonts w:hint="eastAsia" w:ascii="Times New Roman" w:hAnsi="Times New Roman" w:eastAsia="仿宋_GB2312" w:cs="黑体"/>
          <w:sz w:val="32"/>
          <w:szCs w:val="32"/>
          <w:lang w:eastAsia="zh-CN"/>
        </w:rPr>
        <w:t>。</w:t>
      </w:r>
    </w:p>
    <w:p>
      <w:pPr>
        <w:pStyle w:val="20"/>
        <w:keepLines w:val="0"/>
        <w:pageBreakBefore w:val="0"/>
        <w:kinsoku/>
        <w:wordWrap/>
        <w:overflowPunct/>
        <w:topLinePunct w:val="0"/>
        <w:bidi w:val="0"/>
        <w:spacing w:line="560" w:lineRule="exact"/>
        <w:ind w:firstLine="642"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（二）培训费</w:t>
      </w:r>
    </w:p>
    <w:p>
      <w:pPr>
        <w:pStyle w:val="2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黑体"/>
          <w:color w:val="000000"/>
          <w:sz w:val="32"/>
          <w:szCs w:val="32"/>
          <w:lang w:val="en-US" w:eastAsia="zh-CN"/>
        </w:rPr>
      </w:pPr>
      <w:r>
        <w:rPr>
          <w:rFonts w:hint="eastAsia" w:ascii="Times New Roman" w:hAnsi="Times New Roman" w:eastAsia="仿宋_GB2312" w:cs="黑体"/>
          <w:sz w:val="32"/>
          <w:szCs w:val="32"/>
          <w:lang w:val="en-US" w:eastAsia="zh-CN"/>
        </w:rPr>
        <w:t>2023年本部门</w:t>
      </w:r>
      <w:r>
        <w:rPr>
          <w:rFonts w:hint="eastAsia" w:ascii="Times New Roman" w:hAnsi="Times New Roman" w:eastAsia="仿宋_GB2312" w:cs="黑体"/>
          <w:sz w:val="32"/>
          <w:szCs w:val="32"/>
        </w:rPr>
        <w:t>开支培训费7.97万元</w:t>
      </w:r>
      <w:r>
        <w:rPr>
          <w:rFonts w:hint="eastAsia" w:ascii="Times New Roman" w:hAnsi="Times New Roman" w:eastAsia="仿宋_GB2312" w:cs="黑体"/>
          <w:sz w:val="32"/>
          <w:szCs w:val="32"/>
          <w:lang w:eastAsia="zh-CN"/>
        </w:rPr>
        <w:t>。基本支出为</w:t>
      </w:r>
      <w:r>
        <w:rPr>
          <w:rFonts w:hint="eastAsia" w:ascii="Times New Roman" w:hAnsi="Times New Roman" w:eastAsia="仿宋_GB2312" w:cs="黑体"/>
          <w:sz w:val="32"/>
          <w:szCs w:val="32"/>
          <w:lang w:val="en-US" w:eastAsia="zh-CN"/>
        </w:rPr>
        <w:t>0元，</w:t>
      </w:r>
      <w:r>
        <w:rPr>
          <w:rFonts w:hint="eastAsia" w:ascii="Times New Roman" w:hAnsi="Times New Roman" w:eastAsia="仿宋_GB2312" w:cs="黑体"/>
          <w:sz w:val="32"/>
          <w:szCs w:val="32"/>
          <w:lang w:eastAsia="zh-CN"/>
        </w:rPr>
        <w:t>办班教学和场馆运营项目中支出</w:t>
      </w:r>
      <w:r>
        <w:rPr>
          <w:rFonts w:hint="eastAsia" w:ascii="Times New Roman" w:hAnsi="Times New Roman" w:eastAsia="仿宋_GB2312" w:cs="黑体"/>
          <w:sz w:val="32"/>
          <w:szCs w:val="32"/>
          <w:lang w:val="en-US" w:eastAsia="zh-CN"/>
        </w:rPr>
        <w:t>7.97万元，培训费主要</w:t>
      </w:r>
      <w:r>
        <w:rPr>
          <w:rFonts w:hint="eastAsia" w:ascii="Times New Roman" w:hAnsi="Times New Roman" w:eastAsia="仿宋_GB2312" w:cs="黑体"/>
          <w:sz w:val="32"/>
          <w:szCs w:val="32"/>
        </w:rPr>
        <w:t>用于开展事业单位工作人员线上培训和单位职工专业提升技能培</w:t>
      </w:r>
      <w:r>
        <w:rPr>
          <w:rFonts w:hint="eastAsia" w:ascii="Times New Roman" w:hAnsi="Times New Roman" w:eastAsia="仿宋_GB2312" w:cs="黑体"/>
          <w:color w:val="000000"/>
          <w:sz w:val="32"/>
          <w:szCs w:val="32"/>
        </w:rPr>
        <w:t>训，人数</w:t>
      </w:r>
      <w:r>
        <w:rPr>
          <w:rFonts w:hint="eastAsia" w:ascii="Times New Roman" w:hAnsi="Times New Roman" w:eastAsia="仿宋_GB2312" w:cs="黑体"/>
          <w:color w:val="000000"/>
          <w:sz w:val="32"/>
          <w:szCs w:val="32"/>
          <w:lang w:val="en-US" w:eastAsia="zh-CN"/>
        </w:rPr>
        <w:t>226</w:t>
      </w:r>
      <w:r>
        <w:rPr>
          <w:rFonts w:hint="eastAsia" w:ascii="Times New Roman" w:hAnsi="Times New Roman" w:eastAsia="仿宋_GB2312" w:cs="黑体"/>
          <w:color w:val="000000"/>
          <w:sz w:val="32"/>
          <w:szCs w:val="32"/>
        </w:rPr>
        <w:t>人</w:t>
      </w:r>
      <w:r>
        <w:rPr>
          <w:rFonts w:hint="eastAsia" w:ascii="Times New Roman" w:hAnsi="Times New Roman" w:eastAsia="仿宋_GB2312" w:cs="黑体"/>
          <w:color w:val="000000"/>
          <w:sz w:val="32"/>
          <w:szCs w:val="32"/>
          <w:lang w:eastAsia="zh-CN"/>
        </w:rPr>
        <w:t>。其中：</w:t>
      </w:r>
      <w:r>
        <w:rPr>
          <w:rFonts w:hint="eastAsia" w:ascii="Times New Roman" w:hAnsi="Times New Roman" w:eastAsia="仿宋_GB2312" w:cs="黑体"/>
          <w:color w:val="000000"/>
          <w:sz w:val="32"/>
          <w:szCs w:val="32"/>
          <w:lang w:val="en-US" w:eastAsia="zh-CN"/>
        </w:rPr>
        <w:t>组织职工121人参加学习手机摄影培训，费用0.15万元；参加</w:t>
      </w:r>
      <w:r>
        <w:rPr>
          <w:rFonts w:hint="eastAsia" w:ascii="Times New Roman" w:hAnsi="Times New Roman" w:eastAsia="仿宋_GB2312" w:cs="黑体"/>
          <w:color w:val="000000"/>
          <w:sz w:val="32"/>
          <w:szCs w:val="32"/>
        </w:rPr>
        <w:t>事业单位工作人员在线培训，人数9</w:t>
      </w:r>
      <w:r>
        <w:rPr>
          <w:rFonts w:hint="eastAsia" w:ascii="Times New Roman" w:hAnsi="Times New Roman" w:eastAsia="仿宋_GB2312" w:cs="黑体"/>
          <w:color w:val="000000"/>
          <w:sz w:val="32"/>
          <w:szCs w:val="32"/>
          <w:lang w:val="en-US" w:eastAsia="zh-CN"/>
        </w:rPr>
        <w:t>1</w:t>
      </w:r>
      <w:r>
        <w:rPr>
          <w:rFonts w:hint="eastAsia" w:ascii="Times New Roman" w:hAnsi="Times New Roman" w:eastAsia="仿宋_GB2312" w:cs="黑体"/>
          <w:color w:val="000000"/>
          <w:sz w:val="32"/>
          <w:szCs w:val="32"/>
        </w:rPr>
        <w:t>人</w:t>
      </w:r>
      <w:r>
        <w:rPr>
          <w:rFonts w:hint="eastAsia" w:ascii="Times New Roman" w:hAnsi="Times New Roman" w:eastAsia="仿宋_GB2312" w:cs="黑体"/>
          <w:color w:val="000000"/>
          <w:sz w:val="32"/>
          <w:szCs w:val="32"/>
          <w:lang w:eastAsia="zh-CN"/>
        </w:rPr>
        <w:t>，费用为</w:t>
      </w:r>
      <w:r>
        <w:rPr>
          <w:rFonts w:hint="eastAsia" w:ascii="Times New Roman" w:hAnsi="Times New Roman" w:eastAsia="仿宋_GB2312" w:cs="黑体"/>
          <w:color w:val="000000"/>
          <w:sz w:val="32"/>
          <w:szCs w:val="32"/>
          <w:lang w:val="en-US" w:eastAsia="zh-CN"/>
        </w:rPr>
        <w:t>2.18万元，该两项培训无交通费、餐费、住宿费、租场费等。</w:t>
      </w:r>
      <w:r>
        <w:rPr>
          <w:rFonts w:hint="eastAsia" w:ascii="Times New Roman" w:hAnsi="Times New Roman" w:eastAsia="仿宋_GB2312" w:cs="黑体"/>
          <w:color w:val="000000"/>
          <w:sz w:val="32"/>
          <w:szCs w:val="32"/>
        </w:rPr>
        <w:t>参加行业协会专业技能提升培训14人</w:t>
      </w:r>
      <w:r>
        <w:rPr>
          <w:rFonts w:hint="eastAsia" w:ascii="Times New Roman" w:hAnsi="Times New Roman" w:eastAsia="仿宋_GB2312" w:cs="黑体"/>
          <w:color w:val="000000"/>
          <w:sz w:val="32"/>
          <w:szCs w:val="32"/>
          <w:lang w:eastAsia="zh-CN"/>
        </w:rPr>
        <w:t>，费用总计</w:t>
      </w:r>
      <w:r>
        <w:rPr>
          <w:rFonts w:hint="eastAsia" w:ascii="Times New Roman" w:hAnsi="Times New Roman" w:eastAsia="仿宋_GB2312" w:cs="黑体"/>
          <w:color w:val="000000"/>
          <w:sz w:val="32"/>
          <w:szCs w:val="32"/>
          <w:lang w:val="en-US" w:eastAsia="zh-CN"/>
        </w:rPr>
        <w:t>5.59万元，主要为交通费、住宿费、师资费等。</w:t>
      </w:r>
    </w:p>
    <w:p>
      <w:pPr>
        <w:pStyle w:val="20"/>
        <w:keepLines w:val="0"/>
        <w:pageBreakBefore w:val="0"/>
        <w:kinsoku/>
        <w:wordWrap/>
        <w:overflowPunct/>
        <w:topLinePunct w:val="0"/>
        <w:bidi w:val="0"/>
        <w:spacing w:line="560" w:lineRule="exact"/>
        <w:ind w:firstLine="642"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（三）大型活动</w:t>
      </w:r>
    </w:p>
    <w:p>
      <w:pPr>
        <w:pStyle w:val="2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黑体"/>
          <w:sz w:val="32"/>
          <w:szCs w:val="32"/>
          <w:lang w:eastAsia="zh-CN"/>
        </w:rPr>
      </w:pPr>
      <w:r>
        <w:rPr>
          <w:rFonts w:hint="eastAsia" w:ascii="Times New Roman" w:hAnsi="Times New Roman" w:eastAsia="仿宋_GB2312" w:cs="黑体"/>
          <w:sz w:val="32"/>
          <w:szCs w:val="32"/>
          <w:lang w:val="en-US" w:eastAsia="zh-CN"/>
        </w:rPr>
        <w:t>2023年本部门</w:t>
      </w:r>
      <w:r>
        <w:rPr>
          <w:rFonts w:hint="eastAsia" w:ascii="Times New Roman" w:hAnsi="Times New Roman" w:eastAsia="仿宋_GB2312" w:cs="黑体"/>
          <w:sz w:val="32"/>
          <w:szCs w:val="32"/>
        </w:rPr>
        <w:t>举办两个大型赛事活动等节庆、晚会、论坛、赛事活动，开支94.7万元</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主要</w:t>
      </w:r>
      <w:r>
        <w:rPr>
          <w:rFonts w:hint="eastAsia" w:ascii="Times New Roman" w:hAnsi="Times New Roman" w:eastAsia="仿宋_GB2312" w:cs="黑体"/>
          <w:sz w:val="32"/>
          <w:szCs w:val="32"/>
          <w:lang w:eastAsia="zh-CN"/>
        </w:rPr>
        <w:t>为：</w:t>
      </w:r>
    </w:p>
    <w:p>
      <w:pPr>
        <w:pStyle w:val="20"/>
        <w:keepLines w:val="0"/>
        <w:pageBreakBefore w:val="0"/>
        <w:kinsoku/>
        <w:wordWrap/>
        <w:overflowPunct/>
        <w:topLinePunct w:val="0"/>
        <w:bidi w:val="0"/>
        <w:spacing w:line="560" w:lineRule="exact"/>
        <w:ind w:firstLine="640" w:firstLineChars="200"/>
        <w:textAlignment w:val="auto"/>
        <w:rPr>
          <w:rFonts w:hint="eastAsia" w:ascii="Times New Roman" w:hAnsi="Times New Roman" w:eastAsia="仿宋_GB2312" w:cs="黑体"/>
          <w:sz w:val="32"/>
          <w:szCs w:val="32"/>
        </w:rPr>
      </w:pPr>
      <w:r>
        <w:rPr>
          <w:rFonts w:hint="eastAsia" w:ascii="Times New Roman" w:hAnsi="Times New Roman" w:eastAsia="仿宋_GB2312" w:cs="黑体"/>
          <w:sz w:val="32"/>
          <w:szCs w:val="32"/>
          <w:lang w:eastAsia="zh-CN"/>
        </w:rPr>
        <w:t>一是，</w:t>
      </w:r>
      <w:r>
        <w:rPr>
          <w:rFonts w:hint="eastAsia" w:ascii="Times New Roman" w:hAnsi="Times New Roman" w:eastAsia="仿宋_GB2312" w:cs="黑体"/>
          <w:sz w:val="32"/>
          <w:szCs w:val="32"/>
        </w:rPr>
        <w:t>举办长沙市第三十三届</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友阿杯</w:t>
      </w:r>
      <w:r>
        <w:rPr>
          <w:rFonts w:hint="eastAsia" w:ascii="Times New Roman" w:hAnsi="Times New Roman" w:eastAsia="仿宋_GB2312" w:cs="黑体"/>
          <w:sz w:val="32"/>
          <w:szCs w:val="32"/>
          <w:lang w:eastAsia="zh-CN"/>
        </w:rPr>
        <w:t>”</w:t>
      </w:r>
      <w:r>
        <w:rPr>
          <w:rFonts w:hint="eastAsia" w:ascii="Times New Roman" w:hAnsi="Times New Roman" w:eastAsia="仿宋_GB2312" w:cs="黑体"/>
          <w:sz w:val="32"/>
          <w:szCs w:val="32"/>
        </w:rPr>
        <w:t>童星大奖赛，该活动由中共长沙市委宣传部、共青团长沙市委、少先队长沙市工作委员会、长沙市体育局、长沙市科学技术协会、长沙市文学艺术界联合会共同主办，湖南友谊阿波罗控股股份有限公司冠名，长沙市青少年宫承办，长沙市机器人科技教育学会协办，比赛内容为书法、美术、舞蹈、声乐等，参赛人次约为2.2万，支出为42.56万元，主要包括：劳务费、活动用品、活动用餐、奖品奖证制作、摄影摄像等；</w:t>
      </w:r>
    </w:p>
    <w:p>
      <w:pPr>
        <w:pStyle w:val="20"/>
        <w:keepLines w:val="0"/>
        <w:pageBreakBefore w:val="0"/>
        <w:kinsoku/>
        <w:wordWrap/>
        <w:overflowPunct/>
        <w:topLinePunct w:val="0"/>
        <w:bidi w:val="0"/>
        <w:spacing w:line="560" w:lineRule="exact"/>
        <w:ind w:firstLine="640" w:firstLineChars="200"/>
        <w:textAlignment w:val="auto"/>
        <w:rPr>
          <w:rFonts w:ascii="楷体" w:hAnsi="楷体" w:eastAsia="楷体" w:cs="楷体"/>
          <w:b/>
          <w:bCs/>
          <w:i/>
          <w:color w:val="auto"/>
          <w:sz w:val="32"/>
          <w:szCs w:val="32"/>
        </w:rPr>
      </w:pPr>
      <w:r>
        <w:rPr>
          <w:rFonts w:hint="eastAsia" w:ascii="Times New Roman" w:hAnsi="Times New Roman" w:eastAsia="仿宋_GB2312" w:cs="黑体"/>
          <w:sz w:val="32"/>
          <w:szCs w:val="32"/>
        </w:rPr>
        <w:t>二是</w:t>
      </w:r>
      <w:r>
        <w:rPr>
          <w:rFonts w:hint="eastAsia" w:ascii="Times New Roman" w:hAnsi="Times New Roman" w:eastAsia="仿宋_GB2312" w:cs="黑体"/>
          <w:sz w:val="32"/>
          <w:szCs w:val="32"/>
          <w:lang w:val="en-US" w:eastAsia="zh-CN"/>
        </w:rPr>
        <w:t>，</w:t>
      </w:r>
      <w:r>
        <w:rPr>
          <w:rFonts w:hint="eastAsia" w:ascii="Times New Roman" w:hAnsi="Times New Roman" w:eastAsia="仿宋_GB2312" w:cs="黑体"/>
          <w:sz w:val="32"/>
          <w:szCs w:val="32"/>
        </w:rPr>
        <w:t>举办长沙市第二届青少年数独暨益智游戏运动会，该活动由共青团长沙市委、长沙市体育局、长沙市少工委办公室指导，长沙市青少年宫主办，由湖南启彤教育科技有限公司承办，活动内容为数独闯关和益智游戏，参赛人次约为0.9万，支出为52.14万元，主要包括：活动执行服务费、劳务费、活动用品、试卷制作、摄影摄像等。</w:t>
      </w:r>
    </w:p>
    <w:p>
      <w:pPr>
        <w:pStyle w:val="2"/>
        <w:keepLines w:val="0"/>
        <w:pageBreakBefore w:val="0"/>
        <w:kinsoku/>
        <w:wordWrap/>
        <w:overflowPunct/>
        <w:topLinePunct w:val="0"/>
        <w:bidi w:val="0"/>
        <w:spacing w:line="560" w:lineRule="exact"/>
        <w:textAlignment w:val="auto"/>
      </w:pPr>
    </w:p>
    <w:p>
      <w:pPr>
        <w:keepLines w:val="0"/>
        <w:pageBreakBefore w:val="0"/>
        <w:kinsoku/>
        <w:wordWrap/>
        <w:overflowPunct/>
        <w:topLinePunct w:val="0"/>
        <w:bidi w:val="0"/>
        <w:spacing w:line="560" w:lineRule="exact"/>
        <w:ind w:firstLine="640" w:firstLineChars="200"/>
        <w:textAlignment w:val="auto"/>
        <w:rPr>
          <w:rFonts w:ascii="黑体" w:hAnsi="黑体" w:eastAsia="黑体" w:cs="黑体"/>
          <w:bCs/>
          <w:kern w:val="0"/>
          <w:sz w:val="32"/>
          <w:szCs w:val="32"/>
        </w:rPr>
      </w:pPr>
      <w:r>
        <w:rPr>
          <w:rFonts w:hint="eastAsia" w:ascii="黑体" w:hAnsi="黑体" w:eastAsia="黑体" w:cs="黑体"/>
          <w:kern w:val="0"/>
          <w:sz w:val="32"/>
          <w:szCs w:val="32"/>
        </w:rPr>
        <w:t>十二、政府采购情况说明</w:t>
      </w:r>
    </w:p>
    <w:p>
      <w:pPr>
        <w:keepLines w:val="0"/>
        <w:pageBreakBefore w:val="0"/>
        <w:widowControl/>
        <w:kinsoku/>
        <w:wordWrap/>
        <w:overflowPunct/>
        <w:topLinePunct w:val="0"/>
        <w:bidi w:val="0"/>
        <w:spacing w:line="560" w:lineRule="exact"/>
        <w:ind w:firstLine="640" w:firstLineChars="200"/>
        <w:jc w:val="left"/>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本部门2023年度政府采购支出总额</w:t>
      </w:r>
      <w:r>
        <w:rPr>
          <w:rFonts w:hint="eastAsia" w:ascii="Times New Roman" w:hAnsi="Times New Roman" w:eastAsia="仿宋_GB2312" w:cs="Times New Roman"/>
          <w:kern w:val="0"/>
          <w:sz w:val="32"/>
          <w:szCs w:val="32"/>
        </w:rPr>
        <w:t>499.25万</w:t>
      </w:r>
      <w:r>
        <w:rPr>
          <w:rFonts w:ascii="Times New Roman" w:hAnsi="Times New Roman" w:eastAsia="仿宋_GB2312" w:cs="Times New Roman"/>
          <w:kern w:val="0"/>
          <w:sz w:val="32"/>
          <w:szCs w:val="32"/>
        </w:rPr>
        <w:t>元。其中：政府采购货物支出</w:t>
      </w:r>
      <w:r>
        <w:rPr>
          <w:rFonts w:hint="eastAsia" w:ascii="Times New Roman" w:hAnsi="Times New Roman" w:eastAsia="仿宋_GB2312" w:cs="Times New Roman"/>
          <w:kern w:val="0"/>
          <w:sz w:val="32"/>
          <w:szCs w:val="32"/>
        </w:rPr>
        <w:t>92.13万</w:t>
      </w:r>
      <w:r>
        <w:rPr>
          <w:rFonts w:ascii="Times New Roman" w:hAnsi="Times New Roman" w:eastAsia="仿宋_GB2312" w:cs="Times New Roman"/>
          <w:kern w:val="0"/>
          <w:sz w:val="32"/>
          <w:szCs w:val="32"/>
        </w:rPr>
        <w:t>元、政府采购工程支出</w:t>
      </w:r>
      <w:r>
        <w:rPr>
          <w:rFonts w:hint="eastAsia" w:ascii="Times New Roman" w:hAnsi="Times New Roman" w:eastAsia="仿宋_GB2312" w:cs="Times New Roman"/>
          <w:kern w:val="0"/>
          <w:sz w:val="32"/>
          <w:szCs w:val="32"/>
        </w:rPr>
        <w:t>141.01万</w:t>
      </w:r>
      <w:r>
        <w:rPr>
          <w:rFonts w:ascii="Times New Roman" w:hAnsi="Times New Roman" w:eastAsia="仿宋_GB2312" w:cs="Times New Roman"/>
          <w:kern w:val="0"/>
          <w:sz w:val="32"/>
          <w:szCs w:val="32"/>
        </w:rPr>
        <w:t>元、政府采购服务支出</w:t>
      </w:r>
      <w:r>
        <w:rPr>
          <w:rFonts w:hint="eastAsia" w:ascii="Times New Roman" w:hAnsi="Times New Roman" w:eastAsia="仿宋_GB2312" w:cs="Times New Roman"/>
          <w:kern w:val="0"/>
          <w:sz w:val="32"/>
          <w:szCs w:val="32"/>
        </w:rPr>
        <w:t>266.11万</w:t>
      </w:r>
      <w:r>
        <w:rPr>
          <w:rFonts w:ascii="Times New Roman" w:hAnsi="Times New Roman" w:eastAsia="仿宋_GB2312" w:cs="Times New Roman"/>
          <w:kern w:val="0"/>
          <w:sz w:val="32"/>
          <w:szCs w:val="32"/>
        </w:rPr>
        <w:t>元。授予中小企业合同金额</w:t>
      </w:r>
      <w:r>
        <w:rPr>
          <w:rFonts w:hint="eastAsia" w:ascii="Times New Roman" w:hAnsi="Times New Roman" w:eastAsia="仿宋_GB2312" w:cs="Times New Roman"/>
          <w:kern w:val="0"/>
          <w:sz w:val="32"/>
          <w:szCs w:val="32"/>
        </w:rPr>
        <w:t>18.29万</w:t>
      </w:r>
      <w:r>
        <w:rPr>
          <w:rFonts w:ascii="Times New Roman" w:hAnsi="Times New Roman" w:eastAsia="仿宋_GB2312" w:cs="Times New Roman"/>
          <w:kern w:val="0"/>
          <w:sz w:val="32"/>
          <w:szCs w:val="32"/>
        </w:rPr>
        <w:t>元，占政府采购支出总额的</w:t>
      </w:r>
      <w:r>
        <w:rPr>
          <w:rFonts w:hint="eastAsia" w:ascii="Times New Roman" w:hAnsi="Times New Roman" w:eastAsia="仿宋_GB2312" w:cs="Times New Roman"/>
          <w:kern w:val="0"/>
          <w:sz w:val="32"/>
          <w:szCs w:val="32"/>
        </w:rPr>
        <w:t>3.66</w:t>
      </w:r>
      <w:r>
        <w:rPr>
          <w:rFonts w:ascii="Times New Roman" w:hAnsi="Times New Roman" w:eastAsia="仿宋_GB2312" w:cs="Times New Roman"/>
          <w:kern w:val="0"/>
          <w:sz w:val="32"/>
          <w:szCs w:val="32"/>
        </w:rPr>
        <w:t>%，其中：授予小微企业合同金额</w:t>
      </w:r>
      <w:r>
        <w:rPr>
          <w:rFonts w:hint="eastAsia" w:ascii="Times New Roman" w:hAnsi="Times New Roman" w:eastAsia="仿宋_GB2312" w:cs="Times New Roman"/>
          <w:kern w:val="0"/>
          <w:sz w:val="32"/>
          <w:szCs w:val="32"/>
        </w:rPr>
        <w:t>13.61万</w:t>
      </w:r>
      <w:r>
        <w:rPr>
          <w:rFonts w:ascii="Times New Roman" w:hAnsi="Times New Roman" w:eastAsia="仿宋_GB2312" w:cs="Times New Roman"/>
          <w:kern w:val="0"/>
          <w:sz w:val="32"/>
          <w:szCs w:val="32"/>
        </w:rPr>
        <w:t>元，占授予中小企业合同金额的</w:t>
      </w:r>
      <w:r>
        <w:rPr>
          <w:rFonts w:hint="eastAsia" w:ascii="Times New Roman" w:hAnsi="Times New Roman" w:eastAsia="仿宋_GB2312" w:cs="Times New Roman"/>
          <w:kern w:val="0"/>
          <w:sz w:val="32"/>
          <w:szCs w:val="32"/>
        </w:rPr>
        <w:t>74.41</w:t>
      </w:r>
      <w:r>
        <w:rPr>
          <w:rFonts w:ascii="Times New Roman" w:hAnsi="Times New Roman" w:eastAsia="仿宋_GB2312" w:cs="Times New Roman"/>
          <w:kern w:val="0"/>
          <w:sz w:val="32"/>
          <w:szCs w:val="32"/>
        </w:rPr>
        <w:t>%，货物采购授予中小企业合同金额占货物支出金额的</w:t>
      </w:r>
      <w:r>
        <w:rPr>
          <w:rFonts w:hint="eastAsia" w:ascii="Times New Roman" w:hAnsi="Times New Roman" w:eastAsia="仿宋_GB2312" w:cs="Times New Roman"/>
          <w:kern w:val="0"/>
          <w:sz w:val="32"/>
          <w:szCs w:val="32"/>
        </w:rPr>
        <w:t>16.51</w:t>
      </w:r>
      <w:r>
        <w:rPr>
          <w:rFonts w:ascii="Times New Roman" w:hAnsi="Times New Roman" w:eastAsia="仿宋_GB2312" w:cs="Times New Roman"/>
          <w:kern w:val="0"/>
          <w:sz w:val="32"/>
          <w:szCs w:val="32"/>
        </w:rPr>
        <w:t>%，工程采购授予中小企业合同金额占工程支出金额的</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%，服务采购授予中小企业合同金额占服务支出金额的</w:t>
      </w:r>
      <w:r>
        <w:rPr>
          <w:rFonts w:hint="eastAsia" w:ascii="Times New Roman" w:hAnsi="Times New Roman" w:eastAsia="仿宋_GB2312" w:cs="Times New Roman"/>
          <w:kern w:val="0"/>
          <w:sz w:val="32"/>
          <w:szCs w:val="32"/>
        </w:rPr>
        <w:t>1.16</w:t>
      </w:r>
      <w:r>
        <w:rPr>
          <w:rFonts w:ascii="Times New Roman" w:hAnsi="Times New Roman" w:eastAsia="仿宋_GB2312" w:cs="Times New Roman"/>
          <w:kern w:val="0"/>
          <w:sz w:val="32"/>
          <w:szCs w:val="32"/>
        </w:rPr>
        <w:t>%。</w:t>
      </w:r>
    </w:p>
    <w:p>
      <w:pPr>
        <w:keepLines w:val="0"/>
        <w:pageBreakBefore w:val="0"/>
        <w:kinsoku/>
        <w:wordWrap/>
        <w:overflowPunct/>
        <w:topLinePunct w:val="0"/>
        <w:bidi w:val="0"/>
        <w:spacing w:line="560" w:lineRule="exact"/>
        <w:ind w:firstLine="640" w:firstLineChars="200"/>
        <w:textAlignment w:val="auto"/>
        <w:outlineLvl w:val="1"/>
        <w:rPr>
          <w:rFonts w:ascii="黑体" w:hAnsi="黑体" w:eastAsia="黑体" w:cs="黑体"/>
          <w:kern w:val="0"/>
          <w:sz w:val="32"/>
          <w:szCs w:val="32"/>
        </w:rPr>
      </w:pPr>
      <w:r>
        <w:rPr>
          <w:rFonts w:hint="eastAsia" w:ascii="黑体" w:hAnsi="黑体" w:eastAsia="黑体" w:cs="黑体"/>
          <w:kern w:val="0"/>
          <w:sz w:val="32"/>
          <w:szCs w:val="32"/>
        </w:rPr>
        <w:t>十三、国有资产占有使用情况说明</w:t>
      </w:r>
    </w:p>
    <w:p>
      <w:pPr>
        <w:keepLines w:val="0"/>
        <w:pageBreakBefore w:val="0"/>
        <w:kinsoku/>
        <w:wordWrap/>
        <w:overflowPunct/>
        <w:topLinePunct w:val="0"/>
        <w:bidi w:val="0"/>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截至2023年12月31日，</w:t>
      </w:r>
      <w:r>
        <w:rPr>
          <w:rFonts w:hint="eastAsia" w:ascii="Times New Roman" w:hAnsi="Times New Roman" w:eastAsia="仿宋_GB2312" w:cs="Times New Roman"/>
          <w:kern w:val="0"/>
          <w:sz w:val="32"/>
          <w:szCs w:val="32"/>
        </w:rPr>
        <w:t>部门（单位）</w:t>
      </w:r>
      <w:r>
        <w:rPr>
          <w:rFonts w:ascii="Times New Roman" w:hAnsi="Times New Roman" w:eastAsia="仿宋_GB2312" w:cs="Times New Roman"/>
          <w:kern w:val="0"/>
          <w:sz w:val="32"/>
          <w:szCs w:val="32"/>
        </w:rPr>
        <w:t>共有车辆</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辆，其中：</w:t>
      </w:r>
      <w:r>
        <w:rPr>
          <w:rFonts w:hint="eastAsia" w:ascii="Times New Roman" w:hAnsi="Times New Roman" w:eastAsia="仿宋_GB2312"/>
          <w:sz w:val="32"/>
          <w:szCs w:val="32"/>
        </w:rPr>
        <w:t>副部（省）级及以上领导用车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w:t>
      </w:r>
      <w:r>
        <w:rPr>
          <w:rFonts w:hint="eastAsia" w:ascii="Times New Roman" w:hAnsi="Times New Roman" w:eastAsia="仿宋_GB2312"/>
          <w:sz w:val="32"/>
          <w:szCs w:val="32"/>
        </w:rPr>
        <w:t>主要负责人用车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w:t>
      </w:r>
      <w:r>
        <w:rPr>
          <w:rFonts w:hint="eastAsia" w:ascii="Times New Roman" w:hAnsi="Times New Roman" w:eastAsia="仿宋_GB2312"/>
          <w:sz w:val="32"/>
          <w:szCs w:val="32"/>
        </w:rPr>
        <w:t>机要通信用车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w:t>
      </w:r>
      <w:r>
        <w:rPr>
          <w:rFonts w:hint="eastAsia" w:ascii="Times New Roman" w:hAnsi="Times New Roman" w:eastAsia="仿宋_GB2312"/>
          <w:sz w:val="32"/>
          <w:szCs w:val="32"/>
        </w:rPr>
        <w:t>应急保障用车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w:t>
      </w:r>
      <w:r>
        <w:rPr>
          <w:rFonts w:hint="eastAsia" w:ascii="Times New Roman" w:hAnsi="Times New Roman" w:eastAsia="仿宋_GB2312"/>
          <w:sz w:val="32"/>
          <w:szCs w:val="32"/>
        </w:rPr>
        <w:t>执法执勤用车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w:t>
      </w:r>
      <w:r>
        <w:rPr>
          <w:rFonts w:hint="eastAsia" w:ascii="Times New Roman" w:hAnsi="Times New Roman" w:eastAsia="仿宋_GB2312"/>
          <w:sz w:val="32"/>
          <w:szCs w:val="32"/>
        </w:rPr>
        <w:t>特种专业技术用车</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辆、</w:t>
      </w:r>
      <w:r>
        <w:rPr>
          <w:rFonts w:hint="eastAsia" w:ascii="Times New Roman" w:hAnsi="Times New Roman" w:eastAsia="仿宋_GB2312"/>
          <w:sz w:val="32"/>
          <w:szCs w:val="32"/>
        </w:rPr>
        <w:t>离退休干部服务用车</w:t>
      </w:r>
      <w:r>
        <w:rPr>
          <w:rFonts w:hint="eastAsia" w:ascii="Times New Roman" w:hAnsi="Times New Roman" w:eastAsia="仿宋_GB2312" w:cs="Times New Roman"/>
          <w:kern w:val="0"/>
          <w:sz w:val="32"/>
          <w:szCs w:val="32"/>
        </w:rPr>
        <w:t>0</w:t>
      </w:r>
      <w:r>
        <w:rPr>
          <w:rFonts w:hint="eastAsia" w:ascii="Times New Roman" w:hAnsi="Times New Roman" w:eastAsia="仿宋_GB2312"/>
          <w:sz w:val="32"/>
          <w:szCs w:val="32"/>
        </w:rPr>
        <w:t>辆、</w:t>
      </w:r>
      <w:r>
        <w:rPr>
          <w:rFonts w:ascii="Times New Roman" w:hAnsi="Times New Roman" w:eastAsia="仿宋_GB2312" w:cs="Times New Roman"/>
          <w:kern w:val="0"/>
          <w:sz w:val="32"/>
          <w:szCs w:val="32"/>
        </w:rPr>
        <w:t>其他用车</w:t>
      </w: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辆，其他用车主要是</w:t>
      </w:r>
      <w:r>
        <w:rPr>
          <w:rFonts w:hint="eastAsia" w:ascii="Times New Roman" w:hAnsi="Times New Roman" w:eastAsia="仿宋_GB2312" w:cs="Times New Roman"/>
          <w:kern w:val="0"/>
          <w:sz w:val="32"/>
          <w:szCs w:val="32"/>
        </w:rPr>
        <w:t>青少年宫开展培训、活动用车</w:t>
      </w:r>
      <w:r>
        <w:rPr>
          <w:rFonts w:ascii="Times New Roman" w:hAnsi="Times New Roman" w:eastAsia="仿宋_GB2312" w:cs="Times New Roman"/>
          <w:kern w:val="0"/>
          <w:sz w:val="32"/>
          <w:szCs w:val="32"/>
        </w:rPr>
        <w:t>；单价100</w:t>
      </w:r>
      <w:r>
        <w:rPr>
          <w:rFonts w:hint="eastAsia" w:ascii="Times New Roman" w:hAnsi="Times New Roman" w:eastAsia="仿宋_GB2312" w:cs="Times New Roman"/>
          <w:kern w:val="0"/>
          <w:sz w:val="32"/>
          <w:szCs w:val="32"/>
        </w:rPr>
        <w:t>万元</w:t>
      </w:r>
      <w:r>
        <w:rPr>
          <w:rFonts w:ascii="Times New Roman" w:hAnsi="Times New Roman" w:eastAsia="仿宋_GB2312" w:cs="Times New Roman"/>
          <w:kern w:val="0"/>
          <w:sz w:val="32"/>
          <w:szCs w:val="32"/>
        </w:rPr>
        <w:t>以上专用设备</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台（套）。</w:t>
      </w:r>
    </w:p>
    <w:p>
      <w:pPr>
        <w:keepLines w:val="0"/>
        <w:pageBreakBefore w:val="0"/>
        <w:kinsoku/>
        <w:wordWrap/>
        <w:overflowPunct/>
        <w:topLinePunct w:val="0"/>
        <w:bidi w:val="0"/>
        <w:spacing w:line="560" w:lineRule="exact"/>
        <w:ind w:firstLine="640" w:firstLineChars="200"/>
        <w:textAlignment w:val="auto"/>
        <w:rPr>
          <w:rFonts w:ascii="黑体" w:hAnsi="黑体" w:eastAsia="黑体" w:cs="黑体"/>
          <w:bCs/>
          <w:kern w:val="0"/>
          <w:sz w:val="32"/>
          <w:szCs w:val="32"/>
        </w:rPr>
      </w:pPr>
      <w:r>
        <w:rPr>
          <w:rFonts w:hint="eastAsia" w:ascii="黑体" w:hAnsi="黑体" w:eastAsia="黑体" w:cs="黑体"/>
          <w:kern w:val="0"/>
          <w:sz w:val="32"/>
          <w:szCs w:val="32"/>
        </w:rPr>
        <w:t>十四、关于2023年度预算绩效情况的说明</w:t>
      </w:r>
    </w:p>
    <w:p>
      <w:pPr>
        <w:pStyle w:val="20"/>
        <w:keepLines w:val="0"/>
        <w:pageBreakBefore w:val="0"/>
        <w:kinsoku/>
        <w:wordWrap/>
        <w:overflowPunct/>
        <w:topLinePunct w:val="0"/>
        <w:bidi w:val="0"/>
        <w:spacing w:line="560" w:lineRule="exact"/>
        <w:ind w:firstLine="642" w:firstLineChars="200"/>
        <w:textAlignment w:val="auto"/>
        <w:rPr>
          <w:rFonts w:ascii="楷体" w:hAnsi="楷体" w:eastAsia="楷体" w:cs="楷体"/>
          <w:b/>
          <w:bCs/>
          <w:sz w:val="32"/>
          <w:szCs w:val="32"/>
        </w:rPr>
      </w:pPr>
      <w:r>
        <w:rPr>
          <w:rFonts w:hint="eastAsia" w:ascii="楷体" w:hAnsi="楷体" w:eastAsia="楷体" w:cs="楷体"/>
          <w:b/>
          <w:bCs/>
          <w:sz w:val="32"/>
          <w:szCs w:val="32"/>
        </w:rPr>
        <w:t>（一）绩效管理工作开展情况</w:t>
      </w:r>
    </w:p>
    <w:p>
      <w:pPr>
        <w:keepLines w:val="0"/>
        <w:pageBreakBefore w:val="0"/>
        <w:kinsoku/>
        <w:wordWrap/>
        <w:overflowPunct/>
        <w:topLinePunct w:val="0"/>
        <w:bidi w:val="0"/>
        <w:spacing w:line="560" w:lineRule="exac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本部门对绩效管理工作及主管部门对所属单位按规定批复的各项工作按规定认真执行，该填制及时填制，该公开及时公开，该上报及时上报。</w:t>
      </w:r>
    </w:p>
    <w:p>
      <w:pPr>
        <w:pStyle w:val="20"/>
        <w:keepLines w:val="0"/>
        <w:pageBreakBefore w:val="0"/>
        <w:kinsoku/>
        <w:wordWrap/>
        <w:overflowPunct/>
        <w:topLinePunct w:val="0"/>
        <w:bidi w:val="0"/>
        <w:spacing w:line="560" w:lineRule="exact"/>
        <w:ind w:firstLine="642" w:firstLineChars="200"/>
        <w:textAlignment w:val="auto"/>
        <w:rPr>
          <w:rFonts w:ascii="楷体" w:hAnsi="楷体" w:eastAsia="楷体" w:cs="楷体"/>
          <w:b/>
          <w:bCs/>
          <w:sz w:val="32"/>
          <w:szCs w:val="32"/>
        </w:rPr>
      </w:pPr>
      <w:r>
        <w:rPr>
          <w:rFonts w:hint="eastAsia" w:ascii="楷体" w:hAnsi="楷体" w:eastAsia="楷体" w:cs="楷体"/>
          <w:b/>
          <w:bCs/>
          <w:sz w:val="32"/>
          <w:szCs w:val="32"/>
        </w:rPr>
        <w:t>（二）部门（单位）整体支出绩效情况</w:t>
      </w:r>
    </w:p>
    <w:p>
      <w:pPr>
        <w:keepLines w:val="0"/>
        <w:pageBreakBefore w:val="0"/>
        <w:kinsoku/>
        <w:wordWrap/>
        <w:overflowPunct/>
        <w:topLinePunct w:val="0"/>
        <w:bidi w:val="0"/>
        <w:spacing w:line="560" w:lineRule="exac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根据预算绩效管理要求，我单位组织对 2023年度一般公共预算支出全面开展绩效自评，涉及一般公共预算支出5351.47万元，政府性基金预算支出0万元，自评覆盖率达到100%。从评价情况来看，绩效自评结果显示，我单位2023年度绩效目标完成较好，一是对各项支出严格按照预算额度进行控制、节约经费，坚持“量入为出”，不断优化支出机构；二是各项工作均能够按时完成，且质量较高；三是部门整体支出使用效果达到了预期。本部门2023年整体支出5351.47万元，其中项目支出3430.29万元，本单位2023年无重点项目支出，项目支出均为常规性项目开支。</w:t>
      </w:r>
    </w:p>
    <w:p>
      <w:pPr>
        <w:pStyle w:val="20"/>
        <w:keepLines w:val="0"/>
        <w:pageBreakBefore w:val="0"/>
        <w:kinsoku/>
        <w:wordWrap/>
        <w:overflowPunct/>
        <w:topLinePunct w:val="0"/>
        <w:bidi w:val="0"/>
        <w:spacing w:line="560" w:lineRule="exact"/>
        <w:ind w:firstLine="642" w:firstLineChars="200"/>
        <w:textAlignment w:val="auto"/>
        <w:rPr>
          <w:rFonts w:ascii="楷体" w:hAnsi="楷体" w:eastAsia="楷体" w:cs="楷体"/>
          <w:b/>
          <w:bCs/>
          <w:sz w:val="32"/>
          <w:szCs w:val="32"/>
        </w:rPr>
      </w:pPr>
      <w:r>
        <w:rPr>
          <w:rFonts w:hint="eastAsia" w:ascii="楷体" w:hAnsi="楷体" w:eastAsia="楷体" w:cs="楷体"/>
          <w:b/>
          <w:bCs/>
          <w:sz w:val="32"/>
          <w:szCs w:val="32"/>
        </w:rPr>
        <w:t>（三）存在的问题及原因分析</w:t>
      </w:r>
    </w:p>
    <w:p>
      <w:pPr>
        <w:keepLines w:val="0"/>
        <w:pageBreakBefore w:val="0"/>
        <w:kinsoku/>
        <w:wordWrap/>
        <w:overflowPunct/>
        <w:topLinePunct w:val="0"/>
        <w:bidi w:val="0"/>
        <w:spacing w:line="560" w:lineRule="exact"/>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我宫绩效目标管理取得了一定的成绩，但仍存在如下问题：</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（一）市青少年宫聚焦校外教育主业资源整合能力不强，公益活动覆盖面不够广，影响力不够大。针对青少年开展的公益性活动数量不够。如全宫开展的公益活动约</w:t>
      </w:r>
      <w:r>
        <w:rPr>
          <w:rFonts w:hint="eastAsia" w:ascii="Times New Roman" w:hAnsi="Times New Roman"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个，远不能满足青少年活动的需求。青少年宫周边有省农业厅、长沙市第一医院、省少年儿童图书馆等机关单位，但是与各单位合作开展青少年活动并不多。</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二）市青少年宫公益性职能体现不足。为青少年儿童提供公益免费培训班不能满足需求。虽然每年开办青少年校外普惠培训班较多，但由于校外培训场地有限，开设的免费培训班较少。能为特殊困难青少年儿童提供的免费培训项目不多，不能满足更多特殊困难青少年儿童校外培训学习需求。</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（三）绩效目标制定不科学。制定的绩效目标针对性不强，量化指标较少，定性指标较多。在绩效执行中，制定的绩效目标不容易衡量绩效是否达标。</w:t>
      </w:r>
    </w:p>
    <w:p>
      <w:pPr>
        <w:keepLines w:val="0"/>
        <w:pageBreakBefore w:val="0"/>
        <w:widowControl/>
        <w:kinsoku/>
        <w:wordWrap/>
        <w:overflowPunct/>
        <w:topLinePunct w:val="0"/>
        <w:bidi w:val="0"/>
        <w:spacing w:line="560" w:lineRule="exact"/>
        <w:ind w:firstLine="420" w:firstLineChars="200"/>
        <w:jc w:val="left"/>
        <w:textAlignment w:val="auto"/>
        <w:rPr>
          <w:rFonts w:ascii="Times New Roman" w:hAnsi="Times New Roman" w:eastAsia="黑体" w:cs="Times New Roman"/>
          <w:kern w:val="0"/>
          <w:sz w:val="36"/>
          <w:szCs w:val="36"/>
        </w:rPr>
      </w:pPr>
      <w:r>
        <w:br w:type="page"/>
      </w:r>
    </w:p>
    <w:p>
      <w:pPr>
        <w:pStyle w:val="20"/>
        <w:jc w:val="center"/>
        <w:rPr>
          <w:rFonts w:ascii="方正小标宋_GBK" w:hAnsi="方正小标宋_GBK" w:eastAsia="方正小标宋_GBK" w:cs="方正小标宋_GBK"/>
          <w:sz w:val="72"/>
          <w:szCs w:val="72"/>
        </w:rPr>
      </w:pPr>
    </w:p>
    <w:p>
      <w:pPr>
        <w:pStyle w:val="20"/>
        <w:jc w:val="center"/>
        <w:rPr>
          <w:rFonts w:ascii="方正小标宋_GBK" w:hAnsi="方正小标宋_GBK" w:eastAsia="方正小标宋_GBK" w:cs="方正小标宋_GBK"/>
          <w:sz w:val="72"/>
          <w:szCs w:val="72"/>
        </w:rPr>
      </w:pPr>
    </w:p>
    <w:p>
      <w:pPr>
        <w:pStyle w:val="20"/>
        <w:jc w:val="both"/>
        <w:rPr>
          <w:rFonts w:hint="eastAsia"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第四部分</w:t>
      </w:r>
      <w:r>
        <w:rPr>
          <w:rFonts w:ascii="方正小标宋_GBK" w:hAnsi="方正小标宋_GBK" w:eastAsia="方正小标宋_GBK" w:cs="方正小标宋_GBK"/>
          <w:sz w:val="56"/>
          <w:szCs w:val="56"/>
        </w:rPr>
        <w:t xml:space="preserve">  </w:t>
      </w:r>
    </w:p>
    <w:p>
      <w:pPr>
        <w:pStyle w:val="20"/>
        <w:jc w:val="center"/>
        <w:rPr>
          <w:rFonts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名词解释</w:t>
      </w:r>
    </w:p>
    <w:p>
      <w:pPr>
        <w:spacing w:line="400" w:lineRule="exact"/>
        <w:ind w:firstLine="640" w:firstLineChars="200"/>
        <w:rPr>
          <w:rFonts w:ascii="仿宋" w:hAnsi="仿宋" w:eastAsia="仿宋" w:cs="仿宋_GB2312"/>
          <w:sz w:val="32"/>
          <w:szCs w:val="32"/>
        </w:rPr>
        <w:sectPr>
          <w:pgSz w:w="11906" w:h="16838"/>
          <w:pgMar w:top="1440" w:right="1800" w:bottom="1440" w:left="1800" w:header="851" w:footer="992" w:gutter="0"/>
          <w:cols w:space="720" w:num="1"/>
          <w:docGrid w:type="lines" w:linePitch="312" w:charSpace="0"/>
        </w:sectPr>
      </w:pPr>
    </w:p>
    <w:p>
      <w:pPr>
        <w:spacing w:line="60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1、财政拨款收入：指市级财政当年拨付的资金。</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2、经营收入：指事业单位在专业业务活动及其辅助活动之外开展非独立核算经营活动取得的收入。</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3、上年结转：指以前年度尚未完成、结转到本年仍按原规定用途继续使用的资金。</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4、基本支出：指为保障机构正常运转、完成日常工作任务而发生的人员支出和公用支出。</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5、项目支出：指在基本支出之外为完成特定行政任务和事业发展目标所发生的支出。</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6、机关运行经费：为保障行政单位（包括参照公务员法管理的事业单位）运行，用当年财政拨款安排的用于购买货物和服务的各项资金，包括办公及印刷费、邮电费、差旅费、会议费、福利费、日常维修费、办公用房水电费、办公用房取暖费、办公用房物业管理费、公务用车运行维护费以及其他费用。</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7、“三公”经费：纳入部门预算管理的“三公“经费，是指用当年一般公共预算拨款安排的公务接待费、公务用车购置及运行维护费和因公出国（境）费。其中，公务接待费反映单位按规定开支的各类公务接待支出；公务用车购置及运行费反映单位公务用车车辆购置支出（含车辆购置税）及燃料费、维修费、保险费等支出；因公出国（境）费反映单位公务出国（境）的国际旅费、国外城市间交通费、住宿费等支出。</w:t>
      </w:r>
    </w:p>
    <w:p>
      <w:pPr>
        <w:rPr>
          <w:rFonts w:ascii="Times New Roman" w:hAnsi="Times New Roman" w:eastAsia="黑体" w:cs="Times New Roman"/>
          <w:kern w:val="0"/>
          <w:sz w:val="36"/>
          <w:szCs w:val="36"/>
        </w:rPr>
      </w:pPr>
      <w:r>
        <w:br w:type="page"/>
      </w:r>
    </w:p>
    <w:p>
      <w:pPr>
        <w:pStyle w:val="20"/>
        <w:jc w:val="center"/>
        <w:rPr>
          <w:rFonts w:ascii="方正小标宋_GBK" w:hAnsi="方正小标宋_GBK" w:eastAsia="方正小标宋_GBK" w:cs="方正小标宋_GBK"/>
          <w:sz w:val="72"/>
          <w:szCs w:val="72"/>
        </w:rPr>
      </w:pPr>
    </w:p>
    <w:p>
      <w:pPr>
        <w:pStyle w:val="20"/>
        <w:jc w:val="both"/>
        <w:rPr>
          <w:rFonts w:ascii="方正小标宋_GBK" w:hAnsi="方正小标宋_GBK" w:eastAsia="方正小标宋_GBK" w:cs="方正小标宋_GBK"/>
          <w:sz w:val="72"/>
          <w:szCs w:val="72"/>
        </w:rPr>
      </w:pPr>
    </w:p>
    <w:p>
      <w:pPr>
        <w:pStyle w:val="20"/>
        <w:jc w:val="center"/>
        <w:rPr>
          <w:rFonts w:ascii="方正小标宋_GBK" w:hAnsi="方正小标宋_GBK" w:eastAsia="方正小标宋_GBK" w:cs="方正小标宋_GBK"/>
          <w:sz w:val="72"/>
          <w:szCs w:val="72"/>
        </w:rPr>
      </w:pPr>
    </w:p>
    <w:p>
      <w:pPr>
        <w:pStyle w:val="20"/>
        <w:jc w:val="center"/>
        <w:rPr>
          <w:rFonts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第五部分</w:t>
      </w:r>
      <w:r>
        <w:rPr>
          <w:rFonts w:ascii="方正小标宋_GBK" w:hAnsi="方正小标宋_GBK" w:eastAsia="方正小标宋_GBK" w:cs="方正小标宋_GBK"/>
          <w:sz w:val="56"/>
          <w:szCs w:val="56"/>
        </w:rPr>
        <w:t xml:space="preserve">   </w:t>
      </w:r>
    </w:p>
    <w:p>
      <w:pPr>
        <w:pStyle w:val="20"/>
        <w:jc w:val="center"/>
        <w:rPr>
          <w:rFonts w:ascii="方正小标宋_GBK" w:hAnsi="方正小标宋_GBK" w:eastAsia="方正小标宋_GBK" w:cs="方正小标宋_GBK"/>
          <w:sz w:val="56"/>
          <w:szCs w:val="56"/>
        </w:rPr>
      </w:pPr>
    </w:p>
    <w:p>
      <w:pPr>
        <w:pStyle w:val="20"/>
        <w:jc w:val="center"/>
        <w:rPr>
          <w:rFonts w:ascii="方正小标宋_GBK" w:hAnsi="方正小标宋_GBK" w:eastAsia="方正小标宋_GBK" w:cs="方正小标宋_GBK"/>
          <w:sz w:val="56"/>
          <w:szCs w:val="56"/>
        </w:rPr>
      </w:pPr>
      <w:r>
        <w:rPr>
          <w:rFonts w:ascii="方正小标宋_GBK" w:hAnsi="方正小标宋_GBK" w:eastAsia="方正小标宋_GBK" w:cs="方正小标宋_GBK"/>
          <w:sz w:val="56"/>
          <w:szCs w:val="56"/>
        </w:rPr>
        <w:t xml:space="preserve"> </w:t>
      </w:r>
      <w:r>
        <w:rPr>
          <w:rFonts w:hint="eastAsia" w:ascii="方正小标宋_GBK" w:hAnsi="方正小标宋_GBK" w:eastAsia="方正小标宋_GBK" w:cs="方正小标宋_GBK"/>
          <w:sz w:val="56"/>
          <w:szCs w:val="56"/>
        </w:rPr>
        <w:t>附件</w:t>
      </w:r>
    </w:p>
    <w:p>
      <w:pPr>
        <w:pStyle w:val="2"/>
        <w:sectPr>
          <w:pgSz w:w="11906" w:h="16838"/>
          <w:pgMar w:top="1440" w:right="1800" w:bottom="1440" w:left="1800" w:header="851" w:footer="992" w:gutter="0"/>
          <w:cols w:space="720" w:num="1"/>
          <w:docGrid w:type="lines" w:linePitch="312" w:charSpace="0"/>
        </w:sectPr>
      </w:pPr>
    </w:p>
    <w:p>
      <w:pPr>
        <w:pStyle w:val="6"/>
        <w:spacing w:line="900" w:lineRule="exact"/>
        <w:jc w:val="center"/>
        <w:rPr>
          <w:rFonts w:hint="eastAsia" w:eastAsia="方正小标宋简体"/>
          <w:sz w:val="60"/>
          <w:szCs w:val="60"/>
        </w:rPr>
      </w:pPr>
    </w:p>
    <w:p>
      <w:pPr>
        <w:pStyle w:val="6"/>
        <w:spacing w:line="900" w:lineRule="exact"/>
        <w:jc w:val="center"/>
        <w:rPr>
          <w:rFonts w:hint="eastAsia" w:eastAsia="方正小标宋简体"/>
          <w:sz w:val="60"/>
          <w:szCs w:val="60"/>
        </w:rPr>
      </w:pPr>
    </w:p>
    <w:p>
      <w:pPr>
        <w:pStyle w:val="6"/>
        <w:spacing w:line="900" w:lineRule="exact"/>
        <w:jc w:val="both"/>
        <w:rPr>
          <w:rFonts w:hint="eastAsia" w:eastAsia="方正小标宋简体"/>
          <w:sz w:val="60"/>
          <w:szCs w:val="60"/>
        </w:rPr>
      </w:pPr>
    </w:p>
    <w:p>
      <w:pPr>
        <w:pStyle w:val="6"/>
        <w:spacing w:line="900" w:lineRule="exact"/>
        <w:jc w:val="center"/>
        <w:rPr>
          <w:rFonts w:eastAsia="方正小标宋简体"/>
          <w:sz w:val="60"/>
          <w:szCs w:val="60"/>
        </w:rPr>
      </w:pPr>
      <w:r>
        <w:rPr>
          <w:rFonts w:hint="eastAsia" w:eastAsia="方正小标宋简体"/>
          <w:sz w:val="60"/>
          <w:szCs w:val="60"/>
        </w:rPr>
        <w:t>2023</w:t>
      </w:r>
      <w:r>
        <w:rPr>
          <w:rFonts w:eastAsia="方正小标宋简体"/>
          <w:sz w:val="60"/>
          <w:szCs w:val="60"/>
        </w:rPr>
        <w:t>年度</w:t>
      </w:r>
      <w:r>
        <w:rPr>
          <w:rFonts w:hint="eastAsia" w:eastAsia="方正小标宋简体"/>
          <w:sz w:val="60"/>
          <w:szCs w:val="60"/>
        </w:rPr>
        <w:t>长沙市青少年宫部门</w:t>
      </w:r>
    </w:p>
    <w:p>
      <w:pPr>
        <w:pStyle w:val="6"/>
        <w:spacing w:line="900" w:lineRule="exact"/>
        <w:jc w:val="center"/>
        <w:rPr>
          <w:rFonts w:eastAsia="方正小标宋简体"/>
          <w:sz w:val="60"/>
          <w:szCs w:val="60"/>
        </w:rPr>
      </w:pPr>
      <w:r>
        <w:rPr>
          <w:rFonts w:eastAsia="方正小标宋简体"/>
          <w:sz w:val="60"/>
          <w:szCs w:val="60"/>
        </w:rPr>
        <w:t>整体支出绩效自评报告</w:t>
      </w:r>
    </w:p>
    <w:p>
      <w:pPr>
        <w:pStyle w:val="6"/>
        <w:jc w:val="center"/>
        <w:rPr>
          <w:rFonts w:eastAsia="楷体_GB2312"/>
          <w:b/>
          <w:sz w:val="32"/>
          <w:szCs w:val="32"/>
        </w:rPr>
      </w:pPr>
    </w:p>
    <w:p>
      <w:pPr>
        <w:pStyle w:val="6"/>
        <w:jc w:val="center"/>
        <w:rPr>
          <w:rFonts w:eastAsia="黑体"/>
          <w:sz w:val="32"/>
          <w:szCs w:val="32"/>
        </w:rPr>
      </w:pPr>
    </w:p>
    <w:p>
      <w:pPr>
        <w:pStyle w:val="6"/>
        <w:jc w:val="center"/>
        <w:rPr>
          <w:rFonts w:eastAsia="黑体"/>
          <w:sz w:val="32"/>
          <w:szCs w:val="32"/>
        </w:rPr>
      </w:pPr>
    </w:p>
    <w:p>
      <w:pPr>
        <w:pStyle w:val="6"/>
        <w:jc w:val="center"/>
        <w:rPr>
          <w:rFonts w:eastAsia="黑体"/>
          <w:sz w:val="32"/>
          <w:szCs w:val="32"/>
        </w:rPr>
      </w:pPr>
    </w:p>
    <w:p>
      <w:pPr>
        <w:pStyle w:val="6"/>
        <w:jc w:val="center"/>
        <w:rPr>
          <w:rFonts w:eastAsia="黑体"/>
          <w:sz w:val="32"/>
          <w:szCs w:val="32"/>
        </w:rPr>
      </w:pPr>
    </w:p>
    <w:p>
      <w:pPr>
        <w:pStyle w:val="6"/>
        <w:rPr>
          <w:rFonts w:eastAsia="黑体"/>
          <w:sz w:val="44"/>
          <w:szCs w:val="44"/>
        </w:rPr>
      </w:pPr>
    </w:p>
    <w:p>
      <w:pPr>
        <w:pStyle w:val="6"/>
        <w:ind w:firstLine="880" w:firstLineChars="200"/>
        <w:jc w:val="center"/>
        <w:rPr>
          <w:rFonts w:eastAsia="黑体"/>
          <w:sz w:val="44"/>
          <w:szCs w:val="44"/>
        </w:rPr>
      </w:pPr>
    </w:p>
    <w:p>
      <w:pPr>
        <w:pStyle w:val="6"/>
        <w:ind w:firstLine="880" w:firstLineChars="200"/>
        <w:jc w:val="center"/>
        <w:rPr>
          <w:rFonts w:eastAsia="黑体"/>
          <w:sz w:val="44"/>
          <w:szCs w:val="44"/>
        </w:rPr>
      </w:pPr>
    </w:p>
    <w:p>
      <w:pPr>
        <w:pStyle w:val="6"/>
        <w:ind w:firstLine="880" w:firstLineChars="200"/>
        <w:jc w:val="center"/>
        <w:rPr>
          <w:rFonts w:eastAsia="黑体"/>
          <w:sz w:val="44"/>
          <w:szCs w:val="44"/>
        </w:rPr>
      </w:pPr>
    </w:p>
    <w:p>
      <w:pPr>
        <w:pStyle w:val="6"/>
        <w:ind w:firstLine="880" w:firstLineChars="200"/>
        <w:jc w:val="center"/>
        <w:rPr>
          <w:rFonts w:eastAsia="黑体"/>
          <w:sz w:val="44"/>
          <w:szCs w:val="44"/>
        </w:rPr>
      </w:pPr>
    </w:p>
    <w:p>
      <w:pPr>
        <w:pStyle w:val="6"/>
        <w:jc w:val="center"/>
        <w:rPr>
          <w:rFonts w:eastAsia="黑体"/>
          <w:sz w:val="36"/>
          <w:szCs w:val="36"/>
        </w:rPr>
      </w:pPr>
      <w:r>
        <w:rPr>
          <w:rFonts w:eastAsia="黑体"/>
          <w:sz w:val="36"/>
          <w:szCs w:val="36"/>
        </w:rPr>
        <w:t>单位名称（盖章）：</w:t>
      </w:r>
    </w:p>
    <w:p>
      <w:pPr>
        <w:pStyle w:val="6"/>
        <w:jc w:val="center"/>
        <w:rPr>
          <w:rFonts w:eastAsia="楷体_GB2312"/>
          <w:b/>
          <w:bCs/>
          <w:sz w:val="32"/>
          <w:szCs w:val="32"/>
        </w:rPr>
      </w:pPr>
    </w:p>
    <w:p>
      <w:pPr>
        <w:pStyle w:val="6"/>
        <w:keepNext w:val="0"/>
        <w:keepLines w:val="0"/>
        <w:pageBreakBefore w:val="0"/>
        <w:kinsoku/>
        <w:wordWrap/>
        <w:overflowPunct/>
        <w:bidi w:val="0"/>
        <w:spacing w:line="560" w:lineRule="exact"/>
        <w:rPr>
          <w:rFonts w:hint="eastAsia" w:ascii="仿宋_GB2312" w:hAnsi="仿宋_GB2312" w:eastAsia="仿宋_GB2312" w:cs="仿宋_GB2312"/>
          <w:sz w:val="32"/>
          <w:szCs w:val="32"/>
        </w:rPr>
      </w:pPr>
      <w:r>
        <w:rPr>
          <w:rFonts w:eastAsia="仿宋_GB2312"/>
          <w:sz w:val="32"/>
          <w:szCs w:val="32"/>
        </w:rPr>
        <w:br w:type="page"/>
      </w:r>
      <w:r>
        <w:rPr>
          <w:rFonts w:hint="eastAsia" w:ascii="黑体" w:hAnsi="黑体" w:eastAsia="黑体" w:cs="黑体"/>
          <w:sz w:val="32"/>
          <w:szCs w:val="32"/>
        </w:rPr>
        <w:t>一、部门概况</w:t>
      </w:r>
    </w:p>
    <w:p>
      <w:pPr>
        <w:pStyle w:val="6"/>
        <w:keepNext w:val="0"/>
        <w:keepLines w:val="0"/>
        <w:pageBreakBefore w:val="0"/>
        <w:kinsoku/>
        <w:wordWrap/>
        <w:overflowPunct/>
        <w:bidi w:val="0"/>
        <w:spacing w:line="560" w:lineRule="exact"/>
        <w:rPr>
          <w:rFonts w:hint="eastAsia" w:ascii="宋体" w:hAnsi="宋体" w:cs="宋体"/>
          <w:b/>
          <w:sz w:val="32"/>
          <w:szCs w:val="32"/>
        </w:rPr>
      </w:pPr>
      <w:r>
        <w:rPr>
          <w:rFonts w:hint="eastAsia" w:ascii="宋体" w:hAnsi="宋体" w:cs="宋体"/>
          <w:b/>
          <w:sz w:val="32"/>
          <w:szCs w:val="32"/>
        </w:rPr>
        <w:t>（一）部门基本情况</w:t>
      </w:r>
    </w:p>
    <w:p>
      <w:pPr>
        <w:pStyle w:val="6"/>
        <w:keepNext w:val="0"/>
        <w:keepLines w:val="0"/>
        <w:pageBreakBefore w:val="0"/>
        <w:kinsoku/>
        <w:wordWrap/>
        <w:overflowPunct/>
        <w:bidi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1、主要职能</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长沙市青少年宫是共青团长沙市委下属的副县级事业单位， 是共青团组织开展青少年社会教育的重要阵地，是青少年成长成才、全面发展的青少年场所，是加强未成年人思想道德建设、推进素质教育、建设社会主义精神文明的重要场所，是专门面向青少年提供实践教育和社会教育活动的公共文化服务设施，是共青团、少先队组织直接服务青少年的工作平台。在教育引导青少年树立理想信念、培养法治意识、发展兴趣爱好、促进体质健康、增强创新精神、提高科学素质和实践能力、锤炼道德品质、践行社会责任、实现全面发展等方面具有重要作用。</w:t>
      </w:r>
    </w:p>
    <w:p>
      <w:pPr>
        <w:pStyle w:val="6"/>
        <w:keepNext w:val="0"/>
        <w:keepLines w:val="0"/>
        <w:pageBreakBefore w:val="0"/>
        <w:kinsoku/>
        <w:wordWrap/>
        <w:overflowPunct/>
        <w:bidi w:val="0"/>
        <w:spacing w:line="560" w:lineRule="exact"/>
        <w:ind w:left="17" w:right="15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 以加强思想道德教育为核心， 以发展素质教育为方向， 以培养青少年创新精神和实践能力为重点，强化教育引导、实践养成，通过特色鲜明的校外活动及课程体系，广泛开展思想道德、文艺体育、科学技术普及、劳动与社会实践、 夏冬令营、游戏娱乐等各类活动，服务引导广大青少年快乐生活、全面发展、健康成长。</w:t>
      </w:r>
    </w:p>
    <w:p>
      <w:pPr>
        <w:pStyle w:val="6"/>
        <w:keepNext w:val="0"/>
        <w:keepLines w:val="0"/>
        <w:pageBreakBefore w:val="0"/>
        <w:kinsoku/>
        <w:wordWrap/>
        <w:overflowPunct/>
        <w:bidi w:val="0"/>
        <w:snapToGrid w:val="0"/>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2、机构设置</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单位职能，经市编委核定，长沙市青少年宫机构设置基本情况为：办公室、财务部、人力资源部、宣传部、场馆服务部、拓展体验部、活动部、艺术团、培训一部、培训二部，另设党总支专职副书记一名，负责单位党群工作。</w:t>
      </w:r>
    </w:p>
    <w:p>
      <w:pPr>
        <w:pStyle w:val="6"/>
        <w:keepNext w:val="0"/>
        <w:keepLines w:val="0"/>
        <w:pageBreakBefore w:val="0"/>
        <w:kinsoku/>
        <w:wordWrap/>
        <w:overflowPunct/>
        <w:bidi w:val="0"/>
        <w:snapToGrid w:val="0"/>
        <w:spacing w:line="56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3、人员情况</w:t>
      </w:r>
    </w:p>
    <w:p>
      <w:pPr>
        <w:pStyle w:val="13"/>
        <w:keepNext w:val="0"/>
        <w:keepLines w:val="0"/>
        <w:pageBreakBefore w:val="0"/>
        <w:shd w:val="clear" w:color="auto" w:fill="FFFFFF"/>
        <w:kinsoku/>
        <w:wordWrap/>
        <w:overflowPunct/>
        <w:bidi w:val="0"/>
        <w:snapToGrid w:val="0"/>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沙市青少年宫是中国共产主义青年团长沙市委下属二级机构，公益二类单位（差额拨款事业单位）。编制数113人，现有在职人员89人，离休人员1人，退休人员95人。独立编制机构数1个，独立核算机构数1个。2023年有4人退休，新入职5人。</w:t>
      </w:r>
    </w:p>
    <w:p>
      <w:pPr>
        <w:pStyle w:val="13"/>
        <w:keepNext w:val="0"/>
        <w:keepLines w:val="0"/>
        <w:pageBreakBefore w:val="0"/>
        <w:shd w:val="clear" w:color="auto" w:fill="FFFFFF"/>
        <w:kinsoku/>
        <w:wordWrap/>
        <w:overflowPunct/>
        <w:bidi w:val="0"/>
        <w:snapToGrid w:val="0"/>
        <w:spacing w:before="0" w:beforeAutospacing="0" w:after="0" w:afterAutospacing="0"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4、2023年主要工作要点</w:t>
      </w:r>
    </w:p>
    <w:p>
      <w:pPr>
        <w:pStyle w:val="6"/>
        <w:keepNext w:val="0"/>
        <w:keepLines w:val="0"/>
        <w:pageBreakBefore w:val="0"/>
        <w:widowControl/>
        <w:kinsoku/>
        <w:wordWrap/>
        <w:overflowPunct/>
        <w:bidi w:val="0"/>
        <w:adjustRightIn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（1）全年高质量开展主题教育活动</w:t>
      </w:r>
      <w:r>
        <w:rPr>
          <w:rFonts w:hint="eastAsia" w:ascii="仿宋_GB2312" w:hAnsi="仿宋_GB2312" w:eastAsia="仿宋_GB2312" w:cs="仿宋_GB2312"/>
          <w:sz w:val="32"/>
          <w:szCs w:val="32"/>
        </w:rPr>
        <w:t>20余次，组织领导班子学习10余次，</w:t>
      </w:r>
      <w:r>
        <w:rPr>
          <w:rFonts w:hint="eastAsia" w:ascii="仿宋_GB2312" w:hAnsi="仿宋_GB2312" w:eastAsia="仿宋_GB2312" w:cs="仿宋_GB2312"/>
          <w:color w:val="000000"/>
          <w:sz w:val="32"/>
          <w:szCs w:val="32"/>
        </w:rPr>
        <w:t>积极开展党日活动12余次。</w:t>
      </w:r>
    </w:p>
    <w:p>
      <w:pPr>
        <w:pStyle w:val="6"/>
        <w:keepNext w:val="0"/>
        <w:keepLines w:val="0"/>
        <w:pageBreakBefore w:val="0"/>
        <w:widowControl/>
        <w:kinsoku/>
        <w:wordWrap/>
        <w:overflowPunct/>
        <w:bidi w:val="0"/>
        <w:adjustRightIn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（2）单位荣获全国级荣誉5项，省级荣誉12项。教学成果荣获全国级奖项8项，省级集体奖项12项，市级集体奖项18项。</w:t>
      </w:r>
    </w:p>
    <w:p>
      <w:pPr>
        <w:pStyle w:val="6"/>
        <w:keepNext w:val="0"/>
        <w:keepLines w:val="0"/>
        <w:pageBreakBefore w:val="0"/>
        <w:widowControl/>
        <w:kinsoku/>
        <w:wordWrap/>
        <w:overflowPunct/>
        <w:bidi w:val="0"/>
        <w:adjustRightInd w:val="0"/>
        <w:spacing w:line="560" w:lineRule="exact"/>
        <w:ind w:firstLine="640" w:firstLineChars="200"/>
        <w:rPr>
          <w:rFonts w:ascii="仿宋_GB2312" w:hAnsi="Arial" w:eastAsia="仿宋_GB2312" w:cs="Arial"/>
          <w:color w:val="000000"/>
          <w:sz w:val="32"/>
          <w:szCs w:val="32"/>
        </w:rPr>
      </w:pPr>
      <w:r>
        <w:rPr>
          <w:rFonts w:hint="eastAsia" w:ascii="仿宋_GB2312" w:hAnsi="仿宋_GB2312" w:eastAsia="仿宋_GB2312" w:cs="仿宋_GB2312"/>
          <w:color w:val="000000"/>
          <w:sz w:val="32"/>
          <w:szCs w:val="32"/>
        </w:rPr>
        <w:t>（3）学生参赛参演荣获国际性奖项9人次，</w:t>
      </w:r>
      <w:r>
        <w:rPr>
          <w:rFonts w:hint="eastAsia" w:ascii="仿宋_GB2312" w:hAnsi="Arial" w:eastAsia="仿宋_GB2312" w:cs="Arial"/>
          <w:color w:val="000000"/>
          <w:sz w:val="32"/>
          <w:szCs w:val="32"/>
        </w:rPr>
        <w:t>全国级奖项45人次，省级奖项54人次，市级奖项412人次。</w:t>
      </w:r>
    </w:p>
    <w:p>
      <w:pPr>
        <w:pStyle w:val="6"/>
        <w:keepNext w:val="0"/>
        <w:keepLines w:val="0"/>
        <w:pageBreakBefore w:val="0"/>
        <w:kinsoku/>
        <w:wordWrap/>
        <w:overflowPunct/>
        <w:bidi w:val="0"/>
        <w:spacing w:line="56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000000"/>
          <w:sz w:val="32"/>
          <w:szCs w:val="32"/>
        </w:rPr>
        <w:t>（4）全年</w:t>
      </w:r>
      <w:r>
        <w:rPr>
          <w:rFonts w:hint="eastAsia" w:ascii="仿宋_GB2312" w:hAnsi="仿宋_GB2312" w:eastAsia="仿宋_GB2312" w:cs="仿宋_GB2312"/>
          <w:color w:val="000000"/>
          <w:sz w:val="32"/>
          <w:szCs w:val="32"/>
        </w:rPr>
        <w:t>开展团员教育活动3次。拍摄中华好少年红领巾讲解员系列视频2条，</w:t>
      </w:r>
      <w:r>
        <w:rPr>
          <w:rFonts w:hint="eastAsia" w:ascii="仿宋_GB2312" w:hAnsi="仿宋_GB2312" w:eastAsia="仿宋_GB2312" w:cs="仿宋_GB2312"/>
          <w:sz w:val="32"/>
          <w:szCs w:val="32"/>
        </w:rPr>
        <w:t>择优推报个人二星章90名，</w:t>
      </w:r>
      <w:r>
        <w:rPr>
          <w:rFonts w:hint="eastAsia" w:ascii="仿宋_GB2312" w:hAnsi="仿宋_GB2312" w:eastAsia="仿宋_GB2312" w:cs="仿宋_GB2312"/>
          <w:color w:val="000000"/>
          <w:sz w:val="32"/>
          <w:szCs w:val="32"/>
        </w:rPr>
        <w:t>个人三星章19名，个人四星章2名。</w:t>
      </w:r>
    </w:p>
    <w:p>
      <w:pPr>
        <w:pStyle w:val="6"/>
        <w:keepNext w:val="0"/>
        <w:keepLines w:val="0"/>
        <w:pageBreakBefore w:val="0"/>
        <w:kinsoku/>
        <w:wordWrap/>
        <w:overflowPunct/>
        <w:bidi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（5）全宫共开办各类普惠式培训班1400个，免费培训班130个，组织学员参与cctv中学生频道、芒果TV等电视台节目录制9次，参加大型晚会演出18场次，举办专场晚会4场次。</w:t>
      </w:r>
    </w:p>
    <w:p>
      <w:pPr>
        <w:pStyle w:val="6"/>
        <w:keepNext w:val="0"/>
        <w:keepLines w:val="0"/>
        <w:pageBreakBefore w:val="0"/>
        <w:kinsoku/>
        <w:wordWrap/>
        <w:overflowPunct/>
        <w:bidi w:val="0"/>
        <w:spacing w:line="560" w:lineRule="exact"/>
        <w:ind w:firstLine="640" w:firstLineChars="200"/>
        <w:rPr>
          <w:rFonts w:ascii="仿宋_GB2312" w:hAnsi="仿宋_GB2312" w:eastAsia="仿宋_GB2312" w:cs="仿宋_GB2312"/>
          <w:color w:val="000000"/>
          <w:sz w:val="32"/>
          <w:szCs w:val="32"/>
        </w:rPr>
      </w:pPr>
      <w:r>
        <w:rPr>
          <w:rFonts w:hint="eastAsia" w:ascii="仿宋_GB2312" w:hAnsi="Arial" w:eastAsia="仿宋_GB2312" w:cs="Arial"/>
          <w:color w:val="000000"/>
          <w:sz w:val="32"/>
          <w:szCs w:val="32"/>
        </w:rPr>
        <w:t>（6）全年共举办公益活动114个，吸引10万余名青少年儿童参与。</w:t>
      </w:r>
      <w:r>
        <w:rPr>
          <w:rFonts w:hint="eastAsia" w:ascii="仿宋_GB2312" w:hAnsi="仿宋_GB2312" w:eastAsia="仿宋_GB2312" w:cs="仿宋_GB2312"/>
          <w:color w:val="000000"/>
          <w:sz w:val="32"/>
          <w:szCs w:val="32"/>
        </w:rPr>
        <w:t>小杜鹃志愿服务队文化进万家活动6场次。</w:t>
      </w:r>
    </w:p>
    <w:p>
      <w:pPr>
        <w:pStyle w:val="6"/>
        <w:keepNext w:val="0"/>
        <w:keepLines w:val="0"/>
        <w:pageBreakBefore w:val="0"/>
        <w:widowControl/>
        <w:kinsoku/>
        <w:wordWrap/>
        <w:overflowPunct/>
        <w:bidi w:val="0"/>
        <w:adjustRightInd w:val="0"/>
        <w:spacing w:line="560" w:lineRule="exact"/>
        <w:ind w:firstLine="608"/>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（7）参演节目在电视台和高规格舞台演出网络播放次数超千万的共计5场次，总播放次数超亿次。</w:t>
      </w:r>
    </w:p>
    <w:p>
      <w:pPr>
        <w:pStyle w:val="6"/>
        <w:keepNext w:val="0"/>
        <w:keepLines w:val="0"/>
        <w:pageBreakBefore w:val="0"/>
        <w:widowControl/>
        <w:kinsoku/>
        <w:wordWrap/>
        <w:overflowPunct/>
        <w:bidi w:val="0"/>
        <w:adjustRightInd w:val="0"/>
        <w:spacing w:line="560" w:lineRule="exact"/>
        <w:ind w:firstLine="608"/>
        <w:rPr>
          <w:rFonts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（8）参演“阅读新时代</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谱写新篇章”第二届岳麓书会开幕式，活动相关信息11936条，有关话题流量超17亿次。</w:t>
      </w:r>
    </w:p>
    <w:p>
      <w:pPr>
        <w:pStyle w:val="13"/>
        <w:keepNext w:val="0"/>
        <w:keepLines w:val="0"/>
        <w:pageBreakBefore w:val="0"/>
        <w:shd w:val="clear" w:color="auto" w:fill="FFFFFF"/>
        <w:kinsoku/>
        <w:wordWrap/>
        <w:overflowPunct/>
        <w:bidi w:val="0"/>
        <w:snapToGrid w:val="0"/>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（9）同团市委入村调研及开展活动4次，培训教师达350余人次。</w:t>
      </w:r>
    </w:p>
    <w:p>
      <w:pPr>
        <w:pStyle w:val="6"/>
        <w:keepNext w:val="0"/>
        <w:keepLines w:val="0"/>
        <w:pageBreakBefore w:val="0"/>
        <w:numPr>
          <w:ilvl w:val="0"/>
          <w:numId w:val="2"/>
        </w:numPr>
        <w:kinsoku/>
        <w:wordWrap/>
        <w:overflowPunct/>
        <w:bidi w:val="0"/>
        <w:spacing w:line="560" w:lineRule="exact"/>
        <w:ind w:firstLine="642" w:firstLineChars="200"/>
        <w:rPr>
          <w:rFonts w:hint="eastAsia" w:ascii="宋体" w:hAnsi="宋体" w:cs="宋体"/>
          <w:b/>
          <w:color w:val="000000"/>
          <w:sz w:val="32"/>
          <w:szCs w:val="32"/>
        </w:rPr>
      </w:pPr>
      <w:r>
        <w:rPr>
          <w:rFonts w:hint="eastAsia" w:ascii="宋体" w:hAnsi="宋体" w:cs="宋体"/>
          <w:b/>
          <w:color w:val="000000"/>
          <w:sz w:val="32"/>
          <w:szCs w:val="32"/>
        </w:rPr>
        <w:t>部门整体支出规模、使用方向和主要内容、涉及范围</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2023年，长沙市青少年宫整体支出5351.47万元，包含基本支出和项目支出两项。</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000000"/>
          <w:kern w:val="0"/>
          <w:sz w:val="32"/>
          <w:szCs w:val="32"/>
        </w:rPr>
        <w:t>1、基本支出规模1921.18万元，主要为保障部门正常运转以及完成日常工作任务而发生的各项支出，主要使用方向有两个方面，一是人员经费1808.01万元，涉及范围主要有人员基本工资、绩效工资、津补贴、社会保险与医疗保险、住房公积金等；二是公用经费113.17万元，涉及范围主要有工会经费、电费、邮电</w:t>
      </w:r>
      <w:r>
        <w:rPr>
          <w:rFonts w:hint="eastAsia" w:ascii="仿宋_GB2312" w:hAnsi="仿宋_GB2312" w:eastAsia="仿宋_GB2312" w:cs="仿宋_GB2312"/>
          <w:snapToGrid w:val="0"/>
          <w:kern w:val="0"/>
          <w:sz w:val="32"/>
          <w:szCs w:val="32"/>
        </w:rPr>
        <w:t>费、维护维修费、其他商品和服务支出等公用经费等。</w:t>
      </w:r>
    </w:p>
    <w:p>
      <w:pPr>
        <w:pStyle w:val="5"/>
        <w:keepNext w:val="0"/>
        <w:keepLines w:val="0"/>
        <w:pageBreakBefore w:val="0"/>
        <w:kinsoku/>
        <w:wordWrap/>
        <w:overflowPunct/>
        <w:bidi w:val="0"/>
        <w:spacing w:line="560" w:lineRule="exact"/>
        <w:ind w:firstLine="64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项目支出规模3430.29万元，主要为完成特定行政工作任务或事业发展目标而发生的各项支出，主要使用方向有六个方面。一是办班教学和场馆运营经费支出规模2958.23万元，涉及范围主要有聘用职工工资福利支出、在职和离退休职工部分奖金、办班教学业务和活动支出、场馆运营支出、维修维护费等。二是老干部大学场地使用费，支出规模40万元。三是小杜鹃艺术实验学校补助经费，支出规模196.45万元，主要涉及人员工资、福利及各项办学成本正常支出。四是长沙市新青少年宫后续建设项目剩余款项，支出规模227.02万元，用于A、B区设备设施升级改造。五是科协项目经费，支出规模3.83万元，主要用于小杜鹃科普志愿服务行动”项目的公益性青少年科技活动、培训等。六是离休干部专项经费，支出规模4.76万元，用于差额拨款事业单位离休干部离休金、节日慰问费等专项经费。</w:t>
      </w:r>
    </w:p>
    <w:p>
      <w:pPr>
        <w:pStyle w:val="22"/>
        <w:keepNext w:val="0"/>
        <w:keepLines w:val="0"/>
        <w:pageBreakBefore w:val="0"/>
        <w:kinsoku/>
        <w:wordWrap/>
        <w:overflowPunct/>
        <w:bidi w:val="0"/>
        <w:spacing w:line="560" w:lineRule="exact"/>
        <w:ind w:firstLine="0" w:firstLineChars="0"/>
        <w:jc w:val="left"/>
        <w:rPr>
          <w:rFonts w:hint="eastAsia" w:ascii="黑体" w:hAnsi="黑体" w:eastAsia="黑体" w:cs="黑体"/>
          <w:snapToGrid w:val="0"/>
          <w:kern w:val="0"/>
          <w:sz w:val="32"/>
          <w:szCs w:val="32"/>
        </w:rPr>
      </w:pPr>
      <w:r>
        <w:rPr>
          <w:rFonts w:hint="eastAsia" w:ascii="黑体" w:hAnsi="黑体" w:eastAsia="黑体" w:cs="黑体"/>
          <w:b/>
          <w:bCs/>
          <w:snapToGrid w:val="0"/>
          <w:kern w:val="0"/>
          <w:sz w:val="32"/>
          <w:szCs w:val="32"/>
        </w:rPr>
        <w:t>二、一般公共预算支出情况</w:t>
      </w:r>
    </w:p>
    <w:p>
      <w:pPr>
        <w:pStyle w:val="6"/>
        <w:keepNext w:val="0"/>
        <w:keepLines w:val="0"/>
        <w:pageBreakBefore w:val="0"/>
        <w:kinsoku/>
        <w:wordWrap/>
        <w:overflowPunct/>
        <w:bidi w:val="0"/>
        <w:spacing w:line="560" w:lineRule="exact"/>
        <w:ind w:firstLine="642" w:firstLineChars="200"/>
        <w:rPr>
          <w:rFonts w:hint="eastAsia" w:ascii="宋体" w:hAnsi="宋体" w:cs="宋体"/>
          <w:b/>
          <w:bCs/>
          <w:snapToGrid w:val="0"/>
          <w:kern w:val="0"/>
          <w:sz w:val="32"/>
          <w:szCs w:val="32"/>
        </w:rPr>
      </w:pPr>
      <w:r>
        <w:rPr>
          <w:rFonts w:hint="eastAsia" w:ascii="宋体" w:hAnsi="宋体" w:cs="宋体"/>
          <w:b/>
          <w:bCs/>
          <w:snapToGrid w:val="0"/>
          <w:kern w:val="0"/>
          <w:sz w:val="32"/>
          <w:szCs w:val="32"/>
        </w:rPr>
        <w:t>（一）基本支出</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2023年基本支出1921.18万元，主要为保障部门正常运转以及完成日常工作任务而发生的各项支出，主要使用方向有两个方面：</w:t>
      </w:r>
    </w:p>
    <w:p>
      <w:pPr>
        <w:pStyle w:val="6"/>
        <w:keepNext w:val="0"/>
        <w:keepLines w:val="0"/>
        <w:pageBreakBefore w:val="0"/>
        <w:kinsoku/>
        <w:wordWrap/>
        <w:overflowPunct/>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1、人员经费，2023年实际支出1808.01万元，主要用于在职人员工资、津贴补贴、奖金、绩效工资、机关事业单位基本养老保险缴费、职业年金缴费、职工基本医疗保险缴费、公务员医疗补助缴费、住房公积金、其他工资福利支出等。人员经费按照相关政策、标准列支。</w:t>
      </w:r>
    </w:p>
    <w:p>
      <w:pPr>
        <w:pStyle w:val="6"/>
        <w:keepNext w:val="0"/>
        <w:keepLines w:val="0"/>
        <w:pageBreakBefore w:val="0"/>
        <w:kinsoku/>
        <w:wordWrap/>
        <w:overflowPunct/>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2、公用经费，2023年实际支出113.17万元，</w:t>
      </w:r>
      <w:r>
        <w:rPr>
          <w:rFonts w:hint="eastAsia" w:ascii="仿宋_GB2312" w:hAnsi="仿宋_GB2312" w:eastAsia="仿宋_GB2312" w:cs="仿宋_GB2312"/>
          <w:sz w:val="32"/>
          <w:szCs w:val="32"/>
        </w:rPr>
        <w:t>主要用于为保障我单位基本运行而发生的办公费、印刷费、邮电费、差旅费、维修（护）费、公务接待费、劳务费、工会经费、福利费、其他商品和服务支出等。公用经费支出严格执行部门预算，节能减排，控制运行成本。</w:t>
      </w:r>
    </w:p>
    <w:p>
      <w:pPr>
        <w:pStyle w:val="6"/>
        <w:keepNext w:val="0"/>
        <w:keepLines w:val="0"/>
        <w:pageBreakBefore w:val="0"/>
        <w:kinsoku/>
        <w:wordWrap/>
        <w:overflowPunct/>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3、“三公”经费的使用和管理情况</w:t>
      </w:r>
    </w:p>
    <w:p>
      <w:pPr>
        <w:pStyle w:val="6"/>
        <w:keepNext w:val="0"/>
        <w:keepLines w:val="0"/>
        <w:pageBreakBefore w:val="0"/>
        <w:kinsoku/>
        <w:wordWrap/>
        <w:overflowPunct/>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2023年我单位继续加强措施规范“三公”经费管理使用，厉行节约，努力降低行政运行成本。2023年单位三公经费实际支出3.32万元，其中：公务用车运行维护费2.97万元、公务接待费0.35万元，因公出国（境）费无支出。</w:t>
      </w:r>
    </w:p>
    <w:p>
      <w:pPr>
        <w:pStyle w:val="6"/>
        <w:keepNext w:val="0"/>
        <w:keepLines w:val="0"/>
        <w:pageBreakBefore w:val="0"/>
        <w:kinsoku/>
        <w:wordWrap/>
        <w:overflowPunct/>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2023年度“三公”经费上年数及决算支出数对比表</w:t>
      </w:r>
    </w:p>
    <w:tbl>
      <w:tblPr>
        <w:tblStyle w:val="16"/>
        <w:tblpPr w:leftFromText="180" w:rightFromText="180" w:vertAnchor="text" w:horzAnchor="page" w:tblpX="1817" w:tblpY="1620"/>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4"/>
        <w:gridCol w:w="1925"/>
        <w:gridCol w:w="2205"/>
        <w:gridCol w:w="2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954" w:type="dxa"/>
            <w:noWrap/>
            <w:vAlign w:val="top"/>
          </w:tcPr>
          <w:p>
            <w:pPr>
              <w:pStyle w:val="13"/>
              <w:keepNext w:val="0"/>
              <w:keepLines w:val="0"/>
              <w:pageBreakBefore w:val="0"/>
              <w:kinsoku/>
              <w:wordWrap/>
              <w:overflowPunct/>
              <w:bidi w:val="0"/>
              <w:spacing w:before="0" w:beforeAutospacing="0" w:after="0" w:afterAutospacing="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925" w:type="dxa"/>
            <w:noWrap/>
            <w:vAlign w:val="top"/>
          </w:tcPr>
          <w:p>
            <w:pPr>
              <w:pStyle w:val="13"/>
              <w:keepNext w:val="0"/>
              <w:keepLines w:val="0"/>
              <w:pageBreakBefore w:val="0"/>
              <w:kinsoku/>
              <w:wordWrap/>
              <w:overflowPunct/>
              <w:bidi w:val="0"/>
              <w:spacing w:before="0" w:beforeAutospacing="0" w:after="0" w:afterAutospacing="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2022年支出</w:t>
            </w:r>
          </w:p>
        </w:tc>
        <w:tc>
          <w:tcPr>
            <w:tcW w:w="2205" w:type="dxa"/>
            <w:noWrap/>
            <w:vAlign w:val="top"/>
          </w:tcPr>
          <w:p>
            <w:pPr>
              <w:pStyle w:val="13"/>
              <w:keepNext w:val="0"/>
              <w:keepLines w:val="0"/>
              <w:pageBreakBefore w:val="0"/>
              <w:kinsoku/>
              <w:wordWrap/>
              <w:overflowPunct/>
              <w:bidi w:val="0"/>
              <w:spacing w:before="0" w:beforeAutospacing="0" w:after="0" w:afterAutospacing="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2023年支出</w:t>
            </w:r>
          </w:p>
        </w:tc>
        <w:tc>
          <w:tcPr>
            <w:tcW w:w="2265" w:type="dxa"/>
            <w:noWrap/>
            <w:vAlign w:val="top"/>
          </w:tcPr>
          <w:p>
            <w:pPr>
              <w:pStyle w:val="13"/>
              <w:keepNext w:val="0"/>
              <w:keepLines w:val="0"/>
              <w:pageBreakBefore w:val="0"/>
              <w:kinsoku/>
              <w:wordWrap/>
              <w:overflowPunct/>
              <w:bidi w:val="0"/>
              <w:spacing w:before="0" w:beforeAutospacing="0" w:after="0" w:afterAutospacing="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差异原因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954"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公务接待费</w:t>
            </w:r>
          </w:p>
        </w:tc>
        <w:tc>
          <w:tcPr>
            <w:tcW w:w="1925"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0.05</w:t>
            </w:r>
          </w:p>
        </w:tc>
        <w:tc>
          <w:tcPr>
            <w:tcW w:w="2205"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0.35</w:t>
            </w:r>
          </w:p>
        </w:tc>
        <w:tc>
          <w:tcPr>
            <w:tcW w:w="2265" w:type="dxa"/>
            <w:noWrap/>
            <w:vAlign w:val="center"/>
          </w:tcPr>
          <w:p>
            <w:pPr>
              <w:pStyle w:val="6"/>
              <w:keepNext w:val="0"/>
              <w:keepLines w:val="0"/>
              <w:pageBreakBefore w:val="0"/>
              <w:widowControl/>
              <w:kinsoku/>
              <w:wordWrap/>
              <w:overflowPunct/>
              <w:bidi w:val="0"/>
              <w:spacing w:line="560" w:lineRule="exact"/>
              <w:textAlignment w:val="center"/>
              <w:rPr>
                <w:rFonts w:ascii="仿宋_GB2312" w:hAnsi="仿宋_GB2312" w:eastAsia="仿宋_GB2312" w:cs="仿宋_GB2312"/>
                <w:sz w:val="24"/>
              </w:rPr>
            </w:pPr>
            <w:r>
              <w:rPr>
                <w:rFonts w:ascii="仿宋_GB2312" w:hAnsi="仿宋_GB2312" w:eastAsia="仿宋_GB2312" w:cs="仿宋_GB2312"/>
                <w:sz w:val="24"/>
              </w:rPr>
              <w:t>2023年疫情放开，公务接待增加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954"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公务用车运行维护费</w:t>
            </w:r>
          </w:p>
        </w:tc>
        <w:tc>
          <w:tcPr>
            <w:tcW w:w="1925"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0.22</w:t>
            </w:r>
          </w:p>
        </w:tc>
        <w:tc>
          <w:tcPr>
            <w:tcW w:w="2205"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2.97</w:t>
            </w:r>
          </w:p>
        </w:tc>
        <w:tc>
          <w:tcPr>
            <w:tcW w:w="2265" w:type="dxa"/>
            <w:noWrap/>
            <w:vAlign w:val="center"/>
          </w:tcPr>
          <w:p>
            <w:pPr>
              <w:pStyle w:val="6"/>
              <w:keepNext w:val="0"/>
              <w:keepLines w:val="0"/>
              <w:pageBreakBefore w:val="0"/>
              <w:widowControl/>
              <w:kinsoku/>
              <w:wordWrap/>
              <w:overflowPunct/>
              <w:bidi w:val="0"/>
              <w:spacing w:line="560" w:lineRule="exact"/>
              <w:textAlignment w:val="center"/>
              <w:rPr>
                <w:rFonts w:ascii="仿宋_GB2312" w:hAnsi="仿宋_GB2312" w:eastAsia="仿宋_GB2312" w:cs="仿宋_GB2312"/>
                <w:sz w:val="24"/>
              </w:rPr>
            </w:pPr>
            <w:r>
              <w:rPr>
                <w:rFonts w:ascii="仿宋_GB2312" w:hAnsi="仿宋_GB2312" w:eastAsia="仿宋_GB2312" w:cs="仿宋_GB2312"/>
                <w:sz w:val="24"/>
              </w:rPr>
              <w:t xml:space="preserve">2023年疫情放开，青少年宫培训、 </w:t>
            </w:r>
            <w:r>
              <w:rPr>
                <w:rFonts w:hint="eastAsia" w:ascii="仿宋_GB2312" w:hAnsi="仿宋_GB2312" w:eastAsia="仿宋_GB2312" w:cs="仿宋_GB2312"/>
                <w:sz w:val="24"/>
              </w:rPr>
              <w:t>活动增加，公车出行次数增加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1954"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因公出国（境）费</w:t>
            </w:r>
          </w:p>
        </w:tc>
        <w:tc>
          <w:tcPr>
            <w:tcW w:w="1925"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w:t>
            </w:r>
          </w:p>
        </w:tc>
        <w:tc>
          <w:tcPr>
            <w:tcW w:w="2205"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0</w:t>
            </w:r>
          </w:p>
        </w:tc>
        <w:tc>
          <w:tcPr>
            <w:tcW w:w="2265" w:type="dxa"/>
            <w:noWrap/>
            <w:vAlign w:val="center"/>
          </w:tcPr>
          <w:p>
            <w:pPr>
              <w:pStyle w:val="6"/>
              <w:keepNext w:val="0"/>
              <w:keepLines w:val="0"/>
              <w:pageBreakBefore w:val="0"/>
              <w:widowControl/>
              <w:kinsoku/>
              <w:wordWrap/>
              <w:overflowPunct/>
              <w:bidi w:val="0"/>
              <w:spacing w:line="56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与上年持平</w:t>
            </w:r>
          </w:p>
        </w:tc>
      </w:tr>
    </w:tbl>
    <w:p>
      <w:pPr>
        <w:pStyle w:val="6"/>
        <w:keepNext w:val="0"/>
        <w:keepLines w:val="0"/>
        <w:pageBreakBefore w:val="0"/>
        <w:numPr>
          <w:ilvl w:val="0"/>
          <w:numId w:val="3"/>
        </w:numPr>
        <w:kinsoku/>
        <w:wordWrap/>
        <w:overflowPunct/>
        <w:autoSpaceDE w:val="0"/>
        <w:autoSpaceDN w:val="0"/>
        <w:bidi w:val="0"/>
        <w:adjustRightInd w:val="0"/>
        <w:snapToGrid w:val="0"/>
        <w:spacing w:line="560" w:lineRule="exact"/>
        <w:ind w:firstLine="320" w:firstLineChars="100"/>
        <w:textAlignment w:val="baseline"/>
        <w:rPr>
          <w:rFonts w:hint="eastAsia" w:ascii="仿宋" w:hAnsi="仿宋" w:eastAsia="仿宋" w:cs="仿宋"/>
          <w:sz w:val="32"/>
          <w:szCs w:val="32"/>
        </w:rPr>
      </w:pPr>
      <w:r>
        <w:rPr>
          <w:rFonts w:hint="eastAsia" w:ascii="仿宋" w:hAnsi="仿宋" w:eastAsia="仿宋" w:cs="仿宋"/>
          <w:sz w:val="32"/>
          <w:szCs w:val="32"/>
        </w:rPr>
        <w:t>“三公”经费管理情况主要做法如下：</w:t>
      </w:r>
    </w:p>
    <w:p>
      <w:pPr>
        <w:pStyle w:val="5"/>
        <w:keepNext w:val="0"/>
        <w:keepLines w:val="0"/>
        <w:pageBreakBefore w:val="0"/>
        <w:kinsoku/>
        <w:wordWrap/>
        <w:overflowPunct/>
        <w:bidi w:val="0"/>
        <w:spacing w:line="560" w:lineRule="exact"/>
        <w:ind w:firstLine="6720" w:firstLineChars="2100"/>
        <w:rPr>
          <w:rFonts w:hint="eastAsia"/>
          <w:sz w:val="32"/>
          <w:szCs w:val="32"/>
        </w:rPr>
      </w:pPr>
      <w:r>
        <w:rPr>
          <w:rFonts w:hint="eastAsia" w:ascii="仿宋_GB2312" w:hAnsi="仿宋_GB2312" w:eastAsia="仿宋_GB2312" w:cs="仿宋_GB2312"/>
          <w:sz w:val="32"/>
          <w:szCs w:val="32"/>
        </w:rPr>
        <w:t>单位：万元</w:t>
      </w:r>
    </w:p>
    <w:p>
      <w:pPr>
        <w:pStyle w:val="6"/>
        <w:keepNext w:val="0"/>
        <w:keepLines w:val="0"/>
        <w:pageBreakBefore w:val="0"/>
        <w:kinsoku/>
        <w:wordWrap/>
        <w:overflow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①严格预算、总量控制。年初分别确定“三公”经费预算。预算一经确定，严格执行。</w:t>
      </w:r>
    </w:p>
    <w:p>
      <w:pPr>
        <w:pStyle w:val="6"/>
        <w:keepNext w:val="0"/>
        <w:keepLines w:val="0"/>
        <w:pageBreakBefore w:val="0"/>
        <w:kinsoku/>
        <w:wordWrap/>
        <w:overflow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②严格因公出国（境）经费的管理。干部职工因公出国（境）考察学习，在学习目标明确的前提下，按程序审批后报销，手续不全的一律不予报销。</w:t>
      </w:r>
    </w:p>
    <w:p>
      <w:pPr>
        <w:pStyle w:val="6"/>
        <w:keepNext w:val="0"/>
        <w:keepLines w:val="0"/>
        <w:pageBreakBefore w:val="0"/>
        <w:kinsoku/>
        <w:wordWrap/>
        <w:overflow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③严格公务用车购置及运行维护费的管理。一是健全公务用车管理制度，提高车辆使用效益。二是按规定实行公车加油、维修、保险。</w:t>
      </w:r>
    </w:p>
    <w:p>
      <w:pPr>
        <w:pStyle w:val="6"/>
        <w:keepNext w:val="0"/>
        <w:keepLines w:val="0"/>
        <w:pageBreakBefore w:val="0"/>
        <w:kinsoku/>
        <w:wordWrap/>
        <w:overflowPunct/>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④严格公务接待费的管理。严格按照长沙市委办公厅、政府办公厅关于印发《长沙市党政机关国内公务接待实施办法》、长沙市财政局、长沙机关事务管理局《关于明确市直党政机关公务活动用餐有关事项的通知》（长财行〔2018〕）12号等相关文件要求执行。</w:t>
      </w:r>
    </w:p>
    <w:p>
      <w:pPr>
        <w:pStyle w:val="6"/>
        <w:keepNext w:val="0"/>
        <w:keepLines w:val="0"/>
        <w:pageBreakBefore w:val="0"/>
        <w:kinsoku/>
        <w:wordWrap/>
        <w:overflowPunct/>
        <w:bidi w:val="0"/>
        <w:spacing w:line="560" w:lineRule="exact"/>
        <w:ind w:firstLine="642" w:firstLineChars="200"/>
        <w:rPr>
          <w:rFonts w:hint="eastAsia" w:ascii="宋体" w:hAnsi="宋体" w:cs="宋体"/>
          <w:b/>
          <w:bCs/>
          <w:color w:val="000000"/>
          <w:sz w:val="32"/>
          <w:szCs w:val="32"/>
        </w:rPr>
      </w:pPr>
      <w:r>
        <w:rPr>
          <w:rFonts w:hint="eastAsia" w:ascii="宋体" w:hAnsi="宋体" w:cs="宋体"/>
          <w:b/>
          <w:bCs/>
          <w:color w:val="000000"/>
          <w:sz w:val="32"/>
          <w:szCs w:val="32"/>
        </w:rPr>
        <w:t>（二）项目支出</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全项目支出3430.29万元，包括办班教学和场馆运营、市老干部大学河东分校场地使用、小杜鹃艺术实验学校补助经费、长沙市新青少年宫后续建设项目剩余款项、科协项目经费、差额拨款和自收自支事业单位离休干部基本离休金等经费。</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1、办班教学和场馆运营项目，2023年实际支出2958.23万元，主要是用于补充青少年宫支出中办班教学和场馆运营经费不足部分。</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市老干部大学河东分校场地使用费，2023年实际支出40万元。市老干局开办的老干部大学河东分校租用了我宫部分教室作为办学使用，所用水电费等由市财政通过预算指标的方式直接拨付至长沙市青少年宫，用于我宫办班教学及场馆运营的一般日常经费使用。</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3、小杜鹃艺术实验学校补助经费，2023年实际支出196.45万元。为使长沙市小杜鹃艺术实验学校平稳过渡，保障在校学生的权益，确保各项教学工作顺利推进，确保人员工资、福利及各项办学成本正常支出。</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长沙市新青少年宫后续建设项目剩余款项，2023年实际支出227.02万元。由于新青少年宫建设项目原概算编制较早、起点较低，存在很多不完善的地方，距离市委市政府要求的建成“理念先进、功能完善、全国一流、市民满意”的新青少年宫还有差距。2017年第48次市委常委议事协调会议同意将新青少年宫后续建设项目A、B区设备设施升级项目重新立项，对青少年宫进行提质升级改造,2019年新青少年宫后续建设项目启动建设，后因疫情项目暂停三年，2023年支付新青少年宫后续建设项目尾款。</w:t>
      </w:r>
    </w:p>
    <w:p>
      <w:pPr>
        <w:pStyle w:val="5"/>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科协项目经费，2023年实际支出3.83万元。项目主要开展“小杜鹃科普志愿服务行动”公益性青少年科技活动、培训等，包含“流动青少年宫”科普志愿服务活动，以及利用科技周、科普日、气象日、寒暑假等开展科普实践活动。</w:t>
      </w:r>
    </w:p>
    <w:p>
      <w:pPr>
        <w:pStyle w:val="6"/>
        <w:keepNext w:val="0"/>
        <w:keepLines w:val="0"/>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6、差额拨款和自收自支事业单位离休干部基本离休金专项经费，2023年实际支出4.76万元，该项目是市老干局为保障差额拨款事业单位离休干部离休金、节日慰问费等方面的拨付的专项经费。</w:t>
      </w:r>
    </w:p>
    <w:p>
      <w:pPr>
        <w:pStyle w:val="6"/>
        <w:keepNext w:val="0"/>
        <w:keepLines w:val="0"/>
        <w:pageBreakBefore w:val="0"/>
        <w:kinsoku/>
        <w:wordWrap/>
        <w:overflowPunct/>
        <w:bidi w:val="0"/>
        <w:spacing w:line="560" w:lineRule="exact"/>
        <w:ind w:firstLine="642" w:firstLineChars="200"/>
        <w:jc w:val="left"/>
        <w:rPr>
          <w:rFonts w:hint="eastAsia" w:ascii="黑体" w:hAnsi="黑体" w:eastAsia="黑体" w:cs="黑体"/>
          <w:b/>
          <w:sz w:val="32"/>
          <w:szCs w:val="32"/>
        </w:rPr>
      </w:pPr>
      <w:r>
        <w:rPr>
          <w:rFonts w:hint="eastAsia" w:ascii="黑体" w:hAnsi="黑体" w:eastAsia="黑体" w:cs="黑体"/>
          <w:b/>
          <w:sz w:val="32"/>
          <w:szCs w:val="32"/>
        </w:rPr>
        <w:t>三、项目组织实施情况</w:t>
      </w:r>
    </w:p>
    <w:p>
      <w:pPr>
        <w:pStyle w:val="6"/>
        <w:keepNext w:val="0"/>
        <w:keepLines w:val="0"/>
        <w:pageBreakBefore w:val="0"/>
        <w:kinsoku/>
        <w:wordWrap/>
        <w:overflowPunct/>
        <w:bidi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（一）项目组织情况</w:t>
      </w:r>
    </w:p>
    <w:p>
      <w:pPr>
        <w:pStyle w:val="6"/>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eastAsia="仿宋" w:cs="仿宋"/>
          <w:color w:val="FF0000"/>
          <w:sz w:val="32"/>
          <w:szCs w:val="32"/>
        </w:rPr>
      </w:pPr>
      <w:r>
        <w:rPr>
          <w:rFonts w:hint="eastAsia" w:ascii="仿宋" w:hAnsi="仿宋" w:eastAsia="仿宋" w:cs="仿宋"/>
          <w:sz w:val="32"/>
          <w:szCs w:val="32"/>
        </w:rPr>
        <w:t>我单位制定了《长沙市青少年宫财务管理制度》等相关管理制度，各项目均按照国家相关法律法规、上级主管部门相关文件精神、预算管理制度和财务管理制度实施。所有项目资金支付均有完整的审批程序和手续，支出符合部门预算批复的用途，资金使用无截留、挤占、挪用、虚列支出等情况。各项目资金做到了专款专用，项目经费开支有经手人、证明人，按财务制度审批后，从项目经费中支出，确保了财政经费的有序运行，保证了各项工作任务的顺利开展。</w:t>
      </w:r>
    </w:p>
    <w:p>
      <w:pPr>
        <w:pStyle w:val="6"/>
        <w:keepNext w:val="0"/>
        <w:keepLines w:val="0"/>
        <w:pageBreakBefore w:val="0"/>
        <w:kinsoku/>
        <w:wordWrap/>
        <w:overflowPunct/>
        <w:bidi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（二）项目管理情况分析</w:t>
      </w:r>
    </w:p>
    <w:p>
      <w:pPr>
        <w:pStyle w:val="6"/>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sz w:val="32"/>
          <w:szCs w:val="32"/>
        </w:rPr>
        <w:t>根据长沙市青少年宫的职能职责，我单位2023年项目支出包括办班教学和场馆运营项目、市老干部大学河东分校场地使用、小杜鹃艺术实验学校补助经费、长沙市新青少年宫后续建设项目剩余款项、科协项目经费以及离休干部基本离休金等专项经费。按照各项目的功能定位、总目标，层层分解，层层落实，精心组织项目实施，确保目标实现。主要从以下几个方面对项目进行管理。</w:t>
      </w:r>
    </w:p>
    <w:p>
      <w:pPr>
        <w:pStyle w:val="6"/>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eastAsia="仿宋" w:cs="仿宋"/>
          <w:sz w:val="32"/>
          <w:szCs w:val="32"/>
        </w:rPr>
      </w:pPr>
      <w:r>
        <w:rPr>
          <w:rFonts w:hint="eastAsia" w:ascii="仿宋" w:hAnsi="仿宋" w:eastAsia="仿宋" w:cs="仿宋"/>
          <w:sz w:val="32"/>
          <w:szCs w:val="32"/>
        </w:rPr>
        <w:t>一是完善各项制度。制定了《长沙市青少年宫财务管理制度》、《资产管理制度》、《采购制度》等，让各项事务有据可依，有据可查。</w:t>
      </w:r>
    </w:p>
    <w:p>
      <w:pPr>
        <w:pStyle w:val="6"/>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_GB2312" w:hAnsi="仿宋_GB2312" w:eastAsia="仿宋_GB2312" w:cs="仿宋_GB2312"/>
          <w:color w:val="000000"/>
          <w:sz w:val="32"/>
          <w:szCs w:val="32"/>
        </w:rPr>
      </w:pPr>
      <w:r>
        <w:rPr>
          <w:rFonts w:hint="eastAsia" w:ascii="仿宋" w:hAnsi="仿宋" w:eastAsia="仿宋" w:cs="仿宋"/>
          <w:sz w:val="32"/>
          <w:szCs w:val="32"/>
        </w:rPr>
        <w:t>二是加强内控管理。</w:t>
      </w:r>
      <w:r>
        <w:rPr>
          <w:rFonts w:hint="eastAsia" w:ascii="仿宋_GB2312" w:hAnsi="仿宋_GB2312" w:eastAsia="仿宋_GB2312" w:cs="仿宋_GB2312"/>
          <w:color w:val="000000"/>
          <w:sz w:val="32"/>
          <w:szCs w:val="32"/>
        </w:rPr>
        <w:t>根据《中华人民共和国预算法》、《中华人民共和国预算法实施条例》和《湖南省县级以上代表大会常务委员会预算审查监督条例》等法律、法规和预算管理规章制度，结合本单位实际情况，编制专项资金预算。专项资金的使用和管理应遵循综合预算、公开公正、分类管理、绩效考评的原则。专项资金专款专用，任何部门和个人不得滞留、截留，不得用于专项资金规定使用范围以外的开支。专项资金使用遵守青少年宫内控制度，经办人、审核人等相分离。</w:t>
      </w:r>
    </w:p>
    <w:p>
      <w:pPr>
        <w:pStyle w:val="6"/>
        <w:keepNext w:val="0"/>
        <w:keepLines w:val="0"/>
        <w:pageBreakBefore w:val="0"/>
        <w:kinsoku/>
        <w:wordWrap/>
        <w:overflowPunct/>
        <w:bidi w:val="0"/>
        <w:spacing w:line="560"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三是</w:t>
      </w:r>
      <w:r>
        <w:rPr>
          <w:rFonts w:hint="eastAsia" w:ascii="仿宋_GB2312" w:hAnsi="仿宋_GB2312" w:eastAsia="仿宋_GB2312" w:cs="仿宋_GB2312"/>
          <w:color w:val="000000"/>
          <w:sz w:val="32"/>
          <w:szCs w:val="32"/>
        </w:rPr>
        <w:t>实行绩效评价制度。专项资金的项目完成后，组织对重点项目的资金管理使用情况、目标实现程度、资金使用效益等进行绩效自评、开展绩效评价，并向市级财政部门、业务主管单位和市政府报告绩效评价结果。</w:t>
      </w:r>
    </w:p>
    <w:p>
      <w:pPr>
        <w:pStyle w:val="6"/>
        <w:keepNext w:val="0"/>
        <w:keepLines w:val="0"/>
        <w:pageBreakBefore w:val="0"/>
        <w:numPr>
          <w:ilvl w:val="0"/>
          <w:numId w:val="4"/>
        </w:numPr>
        <w:kinsoku/>
        <w:wordWrap/>
        <w:overflowPunct/>
        <w:bidi w:val="0"/>
        <w:spacing w:line="560" w:lineRule="exact"/>
        <w:ind w:firstLine="640" w:firstLineChars="200"/>
        <w:rPr>
          <w:rFonts w:hint="eastAsia" w:ascii="仿宋_GB2312" w:hAnsi="仿宋_GB2312" w:eastAsia="仿宋_GB2312" w:cs="仿宋_GB2312"/>
          <w:b/>
          <w:bCs/>
          <w:sz w:val="32"/>
          <w:szCs w:val="32"/>
        </w:rPr>
      </w:pPr>
      <w:r>
        <w:rPr>
          <w:rFonts w:hint="eastAsia" w:ascii="黑体" w:hAnsi="黑体" w:eastAsia="黑体" w:cs="黑体"/>
          <w:bCs/>
          <w:sz w:val="32"/>
          <w:szCs w:val="32"/>
        </w:rPr>
        <w:t>资产管理情况</w:t>
      </w:r>
    </w:p>
    <w:p>
      <w:pPr>
        <w:pStyle w:val="6"/>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制定了《长沙市青少年宫资产管理制度》，对资产统一采购、保管、使用、处置及报废进行了规定。坚持严格执行法律、法规和有关规章制度；与单位履行职能和满足事业发展需要相适应；科学合理，优化资产结构；勤俭节约，从严控制；调剂、租赁、购置、共享相结合的原则，通过长沙市行政事业单位资产管理信息系统准确、全面、及时记录资产的配置、处置、使用等情况，真实地反映和监督资产的增减变动情况。</w:t>
      </w:r>
    </w:p>
    <w:p>
      <w:pPr>
        <w:pStyle w:val="6"/>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截止2023年12月31日，我单位资产总额15,569.11万元，其中流动资产268 .48万元，占资产总额1.72%;固定资产484.14万元，占资产总额3.11%;在建工程1,420.24万元，占资产总额9.12%;无形资产13,396.25万元，占资产总额86.04%。</w:t>
      </w:r>
    </w:p>
    <w:p>
      <w:pPr>
        <w:pStyle w:val="6"/>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eastAsia="仿宋" w:cs="仿宋"/>
          <w:sz w:val="32"/>
          <w:szCs w:val="32"/>
        </w:rPr>
      </w:pPr>
      <w:r>
        <w:rPr>
          <w:rFonts w:hint="eastAsia" w:ascii="仿宋_GB2312" w:hAnsi="仿宋_GB2312" w:eastAsia="仿宋_GB2312" w:cs="仿宋_GB2312"/>
          <w:color w:val="000000"/>
          <w:sz w:val="32"/>
          <w:szCs w:val="32"/>
        </w:rPr>
        <w:t>2023年，我单位的资产管理工作依据相关政策，制度进一步完善、管理也日趋规范。实物资产由专门的部门全方位管理，专人负责，其他部室配合、协助，安排专门的人员与之对接，做到层层把关；资产台账也随着工作的不断深化，做到了账实相符、 账证相符；为及时、有效的掌握资产动态，加强了对实</w:t>
      </w:r>
      <w:r>
        <w:rPr>
          <w:rFonts w:hint="eastAsia" w:ascii="仿宋" w:hAnsi="仿宋" w:eastAsia="仿宋" w:cs="仿宋"/>
          <w:sz w:val="32"/>
          <w:szCs w:val="32"/>
        </w:rPr>
        <w:t>物资产的盘点清查，减少了实物资产的闲置，提高了实物资产的使用效率。</w:t>
      </w:r>
    </w:p>
    <w:p>
      <w:pPr>
        <w:pStyle w:val="22"/>
        <w:keepNext w:val="0"/>
        <w:keepLines w:val="0"/>
        <w:pageBreakBefore w:val="0"/>
        <w:numPr>
          <w:ilvl w:val="0"/>
          <w:numId w:val="4"/>
        </w:numPr>
        <w:kinsoku/>
        <w:wordWrap/>
        <w:overflowPunct/>
        <w:bidi w:val="0"/>
        <w:spacing w:line="560" w:lineRule="exact"/>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政府性基金预算支出情况</w:t>
      </w:r>
    </w:p>
    <w:p>
      <w:pPr>
        <w:pStyle w:val="22"/>
        <w:keepNext w:val="0"/>
        <w:keepLines w:val="0"/>
        <w:pageBreakBefore w:val="0"/>
        <w:kinsoku/>
        <w:wordWrap/>
        <w:overflowPunct/>
        <w:bidi w:val="0"/>
        <w:spacing w:line="560" w:lineRule="exact"/>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2023年我单位无政府性基金预算支出。</w:t>
      </w:r>
    </w:p>
    <w:p>
      <w:pPr>
        <w:pStyle w:val="22"/>
        <w:keepNext w:val="0"/>
        <w:keepLines w:val="0"/>
        <w:pageBreakBefore w:val="0"/>
        <w:numPr>
          <w:ilvl w:val="0"/>
          <w:numId w:val="4"/>
        </w:numPr>
        <w:kinsoku/>
        <w:wordWrap/>
        <w:overflowPunct/>
        <w:bidi w:val="0"/>
        <w:spacing w:line="560" w:lineRule="exact"/>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国有资本经营预算支出情况</w:t>
      </w:r>
    </w:p>
    <w:p>
      <w:pPr>
        <w:pStyle w:val="22"/>
        <w:keepNext w:val="0"/>
        <w:keepLines w:val="0"/>
        <w:pageBreakBefore w:val="0"/>
        <w:kinsoku/>
        <w:wordWrap/>
        <w:overflowPunct/>
        <w:bidi w:val="0"/>
        <w:spacing w:line="560" w:lineRule="exact"/>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2023年我单位无国有资本经营预算支出。</w:t>
      </w:r>
    </w:p>
    <w:p>
      <w:pPr>
        <w:pStyle w:val="22"/>
        <w:keepNext w:val="0"/>
        <w:keepLines w:val="0"/>
        <w:pageBreakBefore w:val="0"/>
        <w:numPr>
          <w:ilvl w:val="0"/>
          <w:numId w:val="4"/>
        </w:numPr>
        <w:kinsoku/>
        <w:wordWrap/>
        <w:overflowPunct/>
        <w:bidi w:val="0"/>
        <w:spacing w:line="560" w:lineRule="exact"/>
        <w:ind w:firstLine="643"/>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社会保险基金预算支出情况</w:t>
      </w:r>
    </w:p>
    <w:p>
      <w:pPr>
        <w:pStyle w:val="22"/>
        <w:keepNext w:val="0"/>
        <w:keepLines w:val="0"/>
        <w:pageBreakBefore w:val="0"/>
        <w:kinsoku/>
        <w:wordWrap/>
        <w:overflowPunct/>
        <w:bidi w:val="0"/>
        <w:spacing w:line="560" w:lineRule="exact"/>
        <w:ind w:firstLine="64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2023年我单位无社会保险基金预算支出。</w:t>
      </w:r>
    </w:p>
    <w:p>
      <w:pPr>
        <w:pStyle w:val="6"/>
        <w:keepNext w:val="0"/>
        <w:keepLines w:val="0"/>
        <w:pageBreakBefore w:val="0"/>
        <w:numPr>
          <w:ilvl w:val="0"/>
          <w:numId w:val="4"/>
        </w:numPr>
        <w:kinsoku/>
        <w:wordWrap/>
        <w:overflowPunct/>
        <w:bidi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部门整体支出绩效情况</w:t>
      </w:r>
    </w:p>
    <w:p>
      <w:pPr>
        <w:pStyle w:val="6"/>
        <w:keepNext w:val="0"/>
        <w:keepLines w:val="0"/>
        <w:pageBreakBefore w:val="0"/>
        <w:widowControl/>
        <w:kinsoku/>
        <w:wordWrap/>
        <w:overflowPunct/>
        <w:topLinePunct/>
        <w:autoSpaceDE w:val="0"/>
        <w:autoSpaceDN w:val="0"/>
        <w:bidi w:val="0"/>
        <w:adjustRightInd w:val="0"/>
        <w:snapToGrid w:val="0"/>
        <w:spacing w:line="560" w:lineRule="exact"/>
        <w:ind w:firstLine="642" w:firstLineChars="200"/>
        <w:textAlignment w:val="baseline"/>
        <w:rPr>
          <w:rFonts w:ascii="仿宋" w:hAnsi="仿宋" w:eastAsia="仿宋" w:cs="仿宋"/>
          <w:b/>
          <w:bCs/>
          <w:sz w:val="32"/>
          <w:szCs w:val="32"/>
        </w:rPr>
      </w:pPr>
      <w:r>
        <w:rPr>
          <w:rFonts w:hint="eastAsia" w:ascii="仿宋" w:hAnsi="仿宋" w:eastAsia="仿宋" w:cs="仿宋"/>
          <w:b/>
          <w:bCs/>
          <w:sz w:val="32"/>
          <w:szCs w:val="32"/>
        </w:rPr>
        <w:t>（一）运行成本方面</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cs="仿宋"/>
          <w:snapToGrid w:val="0"/>
          <w:color w:val="000000"/>
          <w:kern w:val="0"/>
          <w:sz w:val="32"/>
          <w:szCs w:val="32"/>
        </w:rPr>
      </w:pPr>
      <w:r>
        <w:rPr>
          <w:rFonts w:hint="eastAsia" w:ascii="仿宋" w:hAnsi="仿宋" w:cs="仿宋"/>
          <w:snapToGrid w:val="0"/>
          <w:color w:val="000000"/>
          <w:kern w:val="0"/>
          <w:sz w:val="32"/>
          <w:szCs w:val="32"/>
        </w:rPr>
        <w:t>2023年，我单位牢固树立“过紧日子”思想，深刻践行厉行节约理念，建立健全了各项管理制度，严格控制运行成本，加强对公用经费、一般性支出等支出的管理，确保我单位各项经济活动合法合规、节约高效开展。</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cs="仿宋"/>
          <w:snapToGrid w:val="0"/>
          <w:color w:val="000000"/>
          <w:kern w:val="0"/>
          <w:sz w:val="32"/>
          <w:szCs w:val="32"/>
        </w:rPr>
      </w:pPr>
      <w:r>
        <w:rPr>
          <w:rFonts w:hint="eastAsia" w:ascii="仿宋" w:hAnsi="仿宋" w:cs="仿宋"/>
          <w:snapToGrid w:val="0"/>
          <w:color w:val="000000"/>
          <w:kern w:val="0"/>
          <w:sz w:val="32"/>
          <w:szCs w:val="32"/>
        </w:rPr>
        <w:t>1.公用经费控制率100%</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cs="仿宋"/>
          <w:snapToGrid w:val="0"/>
          <w:color w:val="000000"/>
          <w:kern w:val="0"/>
          <w:sz w:val="32"/>
          <w:szCs w:val="32"/>
        </w:rPr>
      </w:pPr>
      <w:r>
        <w:rPr>
          <w:rFonts w:hint="eastAsia" w:ascii="仿宋" w:hAnsi="仿宋" w:cs="仿宋"/>
          <w:snapToGrid w:val="0"/>
          <w:color w:val="000000"/>
          <w:kern w:val="0"/>
          <w:sz w:val="32"/>
          <w:szCs w:val="32"/>
        </w:rPr>
        <w:t>公用经费控制率100%＝（实际支出公用经费总额113.17万元/预算安排公用经费总额113.17万元）×100%</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cs="仿宋"/>
          <w:snapToGrid w:val="0"/>
          <w:color w:val="000000"/>
          <w:kern w:val="0"/>
          <w:sz w:val="32"/>
          <w:szCs w:val="32"/>
        </w:rPr>
      </w:pPr>
      <w:r>
        <w:rPr>
          <w:rFonts w:hint="eastAsia" w:ascii="仿宋" w:hAnsi="仿宋" w:cs="仿宋"/>
          <w:snapToGrid w:val="0"/>
          <w:color w:val="000000"/>
          <w:kern w:val="0"/>
          <w:sz w:val="32"/>
          <w:szCs w:val="32"/>
        </w:rPr>
        <w:t>2.“三公”控制率83%</w:t>
      </w:r>
    </w:p>
    <w:p>
      <w:pPr>
        <w:pStyle w:val="14"/>
        <w:keepNext w:val="0"/>
        <w:keepLines w:val="0"/>
        <w:pageBreakBefore w:val="0"/>
        <w:kinsoku/>
        <w:wordWrap/>
        <w:overflowPunct/>
        <w:autoSpaceDE w:val="0"/>
        <w:autoSpaceDN w:val="0"/>
        <w:bidi w:val="0"/>
        <w:adjustRightInd w:val="0"/>
        <w:snapToGrid w:val="0"/>
        <w:spacing w:line="560" w:lineRule="exact"/>
        <w:ind w:firstLine="640" w:firstLineChars="200"/>
        <w:textAlignment w:val="top"/>
        <w:rPr>
          <w:rFonts w:hint="eastAsia" w:ascii="仿宋" w:hAnsi="仿宋" w:cs="仿宋"/>
          <w:snapToGrid w:val="0"/>
          <w:color w:val="000000"/>
          <w:kern w:val="0"/>
          <w:sz w:val="32"/>
          <w:szCs w:val="32"/>
        </w:rPr>
      </w:pPr>
      <w:r>
        <w:rPr>
          <w:rFonts w:hint="eastAsia" w:ascii="仿宋" w:hAnsi="仿宋" w:cs="仿宋"/>
          <w:snapToGrid w:val="0"/>
          <w:color w:val="000000"/>
          <w:kern w:val="0"/>
          <w:sz w:val="32"/>
          <w:szCs w:val="32"/>
        </w:rPr>
        <w:t>“三公”经费控制率83%＝（三公经费实际支出数3.32万元/三公经费预算安排数4万元）×100%</w:t>
      </w:r>
    </w:p>
    <w:p>
      <w:pPr>
        <w:pStyle w:val="6"/>
        <w:keepNext w:val="0"/>
        <w:keepLines w:val="0"/>
        <w:pageBreakBefore w:val="0"/>
        <w:widowControl/>
        <w:kinsoku/>
        <w:wordWrap/>
        <w:overflowPunct/>
        <w:topLinePunct/>
        <w:autoSpaceDE w:val="0"/>
        <w:autoSpaceDN w:val="0"/>
        <w:bidi w:val="0"/>
        <w:adjustRightInd w:val="0"/>
        <w:snapToGrid w:val="0"/>
        <w:spacing w:line="560" w:lineRule="exact"/>
        <w:ind w:firstLine="642" w:firstLineChars="200"/>
        <w:textAlignment w:val="baseline"/>
        <w:rPr>
          <w:rFonts w:ascii="仿宋" w:hAnsi="仿宋" w:eastAsia="仿宋" w:cs="仿宋"/>
          <w:b/>
          <w:bCs/>
          <w:sz w:val="32"/>
          <w:szCs w:val="32"/>
        </w:rPr>
      </w:pPr>
      <w:r>
        <w:rPr>
          <w:rFonts w:hint="eastAsia" w:ascii="仿宋" w:hAnsi="仿宋" w:eastAsia="仿宋" w:cs="仿宋"/>
          <w:b/>
          <w:bCs/>
          <w:sz w:val="32"/>
          <w:szCs w:val="32"/>
        </w:rPr>
        <w:t>（二）管理效率方面</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cs="仿宋"/>
          <w:snapToGrid w:val="0"/>
          <w:color w:val="000000"/>
          <w:kern w:val="0"/>
          <w:sz w:val="32"/>
          <w:szCs w:val="32"/>
        </w:rPr>
      </w:pPr>
      <w:r>
        <w:rPr>
          <w:rFonts w:hint="eastAsia" w:ascii="仿宋" w:hAnsi="仿宋" w:cs="仿宋"/>
          <w:snapToGrid w:val="0"/>
          <w:color w:val="000000"/>
          <w:kern w:val="0"/>
          <w:sz w:val="32"/>
          <w:szCs w:val="32"/>
        </w:rPr>
        <w:t>1.在职人员控制率78.76%</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ascii="仿宋" w:hAnsi="仿宋" w:cs="仿宋"/>
          <w:snapToGrid w:val="0"/>
          <w:color w:val="000000"/>
          <w:kern w:val="0"/>
          <w:sz w:val="32"/>
          <w:szCs w:val="32"/>
        </w:rPr>
      </w:pPr>
      <w:r>
        <w:rPr>
          <w:rFonts w:hint="eastAsia" w:ascii="仿宋" w:hAnsi="仿宋" w:cs="仿宋"/>
          <w:snapToGrid w:val="0"/>
          <w:color w:val="000000"/>
          <w:kern w:val="0"/>
          <w:sz w:val="32"/>
          <w:szCs w:val="32"/>
        </w:rPr>
        <w:t>在职人员控制率78.76%＝（在职人员数89人/编制数113人）×100%</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ascii="仿宋" w:hAnsi="仿宋" w:cs="仿宋"/>
          <w:snapToGrid w:val="0"/>
          <w:color w:val="000000"/>
          <w:kern w:val="0"/>
          <w:sz w:val="32"/>
          <w:szCs w:val="32"/>
        </w:rPr>
      </w:pPr>
      <w:r>
        <w:rPr>
          <w:rFonts w:hint="eastAsia" w:ascii="仿宋" w:hAnsi="仿宋" w:cs="仿宋"/>
          <w:snapToGrid w:val="0"/>
          <w:color w:val="000000"/>
          <w:kern w:val="0"/>
          <w:sz w:val="32"/>
          <w:szCs w:val="32"/>
        </w:rPr>
        <w:t>2.预算执行率86.45%</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cs="仿宋"/>
          <w:snapToGrid w:val="0"/>
          <w:color w:val="000000"/>
          <w:kern w:val="0"/>
          <w:sz w:val="32"/>
          <w:szCs w:val="32"/>
        </w:rPr>
      </w:pPr>
      <w:r>
        <w:rPr>
          <w:rFonts w:hint="eastAsia" w:ascii="仿宋" w:hAnsi="仿宋" w:cs="仿宋"/>
          <w:snapToGrid w:val="0"/>
          <w:color w:val="000000"/>
          <w:kern w:val="0"/>
          <w:sz w:val="32"/>
          <w:szCs w:val="32"/>
        </w:rPr>
        <w:t>预算执行率86.45%=（实际支出为5351.47万元/2023年度财政下达指标金额为6190.2万元）×100%。</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ascii="仿宋" w:hAnsi="仿宋" w:cs="仿宋"/>
          <w:snapToGrid w:val="0"/>
          <w:color w:val="000000"/>
          <w:kern w:val="0"/>
          <w:sz w:val="32"/>
          <w:szCs w:val="32"/>
        </w:rPr>
      </w:pPr>
      <w:r>
        <w:rPr>
          <w:rFonts w:hint="eastAsia" w:ascii="仿宋" w:hAnsi="仿宋" w:cs="仿宋"/>
          <w:snapToGrid w:val="0"/>
          <w:color w:val="000000"/>
          <w:kern w:val="0"/>
          <w:sz w:val="32"/>
          <w:szCs w:val="32"/>
        </w:rPr>
        <w:t>3.预算调整率7.94%</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ascii="仿宋" w:hAnsi="仿宋" w:cs="仿宋"/>
          <w:snapToGrid w:val="0"/>
          <w:color w:val="000000"/>
          <w:kern w:val="0"/>
          <w:sz w:val="32"/>
          <w:szCs w:val="32"/>
        </w:rPr>
      </w:pPr>
      <w:r>
        <w:rPr>
          <w:rFonts w:hint="eastAsia" w:ascii="仿宋" w:hAnsi="仿宋" w:cs="仿宋"/>
          <w:snapToGrid w:val="0"/>
          <w:color w:val="000000"/>
          <w:kern w:val="0"/>
          <w:sz w:val="32"/>
          <w:szCs w:val="32"/>
        </w:rPr>
        <w:t>预算调整率为7.94%=（本年预算调整数为455.11万元/2023年度财政批复年初部门预算数为5735.09万元）×100%。</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ascii="仿宋" w:hAnsi="仿宋" w:cs="仿宋"/>
          <w:snapToGrid w:val="0"/>
          <w:color w:val="000000"/>
          <w:kern w:val="0"/>
          <w:sz w:val="32"/>
          <w:szCs w:val="32"/>
        </w:rPr>
      </w:pPr>
      <w:r>
        <w:rPr>
          <w:rFonts w:hint="eastAsia" w:ascii="仿宋" w:hAnsi="仿宋" w:cs="仿宋"/>
          <w:snapToGrid w:val="0"/>
          <w:color w:val="000000"/>
          <w:kern w:val="0"/>
          <w:sz w:val="32"/>
          <w:szCs w:val="32"/>
        </w:rPr>
        <w:t>4.预决算公开情况</w:t>
      </w:r>
    </w:p>
    <w:p>
      <w:pPr>
        <w:pStyle w:val="14"/>
        <w:keepNext w:val="0"/>
        <w:keepLines w:val="0"/>
        <w:pageBreakBefore w:val="0"/>
        <w:widowControl/>
        <w:kinsoku/>
        <w:wordWrap/>
        <w:overflowPunct/>
        <w:autoSpaceDE w:val="0"/>
        <w:autoSpaceDN w:val="0"/>
        <w:bidi w:val="0"/>
        <w:adjustRightInd w:val="0"/>
        <w:snapToGrid w:val="0"/>
        <w:spacing w:line="560" w:lineRule="exact"/>
        <w:ind w:firstLine="640" w:firstLineChars="200"/>
        <w:textAlignment w:val="top"/>
        <w:rPr>
          <w:rFonts w:hint="eastAsia"/>
          <w:sz w:val="32"/>
          <w:szCs w:val="32"/>
        </w:rPr>
      </w:pPr>
      <w:r>
        <w:rPr>
          <w:rFonts w:hint="eastAsia" w:ascii="仿宋" w:hAnsi="仿宋" w:cs="仿宋"/>
          <w:snapToGrid w:val="0"/>
          <w:color w:val="000000"/>
          <w:kern w:val="0"/>
          <w:sz w:val="32"/>
          <w:szCs w:val="32"/>
        </w:rPr>
        <w:t>科学合理地编制了2023年部门预算，真实准确填报基础信息，按时上报预决算数据资料。按照统一要求和部署，在门户网站公开了2023年度部门预算。</w:t>
      </w:r>
    </w:p>
    <w:p>
      <w:pPr>
        <w:pStyle w:val="6"/>
        <w:keepNext w:val="0"/>
        <w:keepLines w:val="0"/>
        <w:pageBreakBefore w:val="0"/>
        <w:widowControl/>
        <w:kinsoku/>
        <w:wordWrap/>
        <w:overflowPunct/>
        <w:bidi w:val="0"/>
        <w:adjustRightInd w:val="0"/>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（三）履职效能和社会效应等方面</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1、突出党建引领，各项工作屡获殊荣</w:t>
      </w:r>
    </w:p>
    <w:p>
      <w:pPr>
        <w:pStyle w:val="6"/>
        <w:keepNext w:val="0"/>
        <w:keepLines w:val="0"/>
        <w:pageBreakBefore w:val="0"/>
        <w:widowControl/>
        <w:kinsoku/>
        <w:wordWrap/>
        <w:overflowPunct/>
        <w:bidi w:val="0"/>
        <w:adjustRightIn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市青少年宫始终坚持党建引领，全面贯彻落实新时代党的建设总要求，强化队伍管理，扎实推进党风廉政建设，持续加强意识形态管理，高质量开展主题教育活动</w:t>
      </w:r>
      <w:r>
        <w:rPr>
          <w:rFonts w:hint="eastAsia" w:ascii="仿宋_GB2312" w:hAnsi="仿宋_GB2312" w:eastAsia="仿宋_GB2312" w:cs="仿宋_GB2312"/>
          <w:sz w:val="32"/>
          <w:szCs w:val="32"/>
        </w:rPr>
        <w:t>20余次，组织领导班子学习10余次，</w:t>
      </w:r>
      <w:r>
        <w:rPr>
          <w:rFonts w:hint="eastAsia" w:ascii="仿宋_GB2312" w:hAnsi="仿宋_GB2312" w:eastAsia="仿宋_GB2312" w:cs="仿宋_GB2312"/>
          <w:color w:val="000000"/>
          <w:sz w:val="32"/>
          <w:szCs w:val="32"/>
        </w:rPr>
        <w:t>积极开展党日活动12余次，</w:t>
      </w:r>
      <w:r>
        <w:rPr>
          <w:rFonts w:hint="eastAsia" w:ascii="仿宋_GB2312" w:hAnsi="仿宋_GB2312" w:eastAsia="仿宋_GB2312" w:cs="仿宋_GB2312"/>
          <w:sz w:val="32"/>
          <w:szCs w:val="32"/>
        </w:rPr>
        <w:t>进一步</w:t>
      </w:r>
      <w:r>
        <w:rPr>
          <w:rFonts w:hint="eastAsia" w:ascii="仿宋_GB2312" w:hAnsi="仿宋_GB2312" w:eastAsia="仿宋_GB2312" w:cs="仿宋_GB2312"/>
          <w:color w:val="000000"/>
          <w:sz w:val="32"/>
          <w:szCs w:val="32"/>
        </w:rPr>
        <w:t>凝聚了思想共识、强化使命担当，有力推动各项工作落地落实见效。全年，单位荣获全国级荣誉5项，省级荣誉12项，并作为全国青少年红色实践教育经验交流会上优秀代表作典型发言；教学成果荣获全国级奖项8项，省级集体奖项12项，市级集体奖项18项；学生参赛参演荣获国际性奖项9人次，全国级奖项45人次，省级奖项54人次，市级奖项412人次。</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全国级</w:t>
      </w:r>
      <w:r>
        <w:rPr>
          <w:rFonts w:hint="eastAsia" w:ascii="仿宋_GB2312" w:hAnsi="仿宋_GB2312" w:eastAsia="仿宋_GB2312" w:cs="仿宋_GB2312"/>
          <w:color w:val="000000"/>
          <w:sz w:val="32"/>
          <w:szCs w:val="32"/>
        </w:rPr>
        <w:t>：2023年度全国红领巾中队、全国“流动少年宫”示范单位、第15届FCAC寻彩国际少儿书画大展演“百佳美育名校”、2023全国中小学美育成果展演“百佳艺术教育先进单位”、第14届“溢美童心”美术大赛“全国书画优质教育机构”。校本课程获2022年全国优质校外少先队活动课。参赛或展演荣获第37届全国青少年科技创新大赛决赛第一名、第27届中国少儿戏曲小梅花荟萃“小梅花集体节目”、2023全国中小学美育成果展演最佳原创奖、魅力金星奖，第九届“曹灿杯”青少年朗诵展示活动 “卓越之星”、“最佳台风奖”（金奖），第七届央音青少年艺术展演独唱金展演奖，第五届“翰墨传承书道”全国青少年书法大赛金奖等。</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省级</w:t>
      </w:r>
      <w:r>
        <w:rPr>
          <w:rFonts w:hint="eastAsia" w:ascii="仿宋_GB2312" w:hAnsi="仿宋_GB2312" w:eastAsia="仿宋_GB2312" w:cs="仿宋_GB2312"/>
          <w:color w:val="000000"/>
          <w:sz w:val="32"/>
          <w:szCs w:val="32"/>
        </w:rPr>
        <w:t>：湖南省少先队校外实践教育基地、2022年度“红领巾奖章”集体四星章、第28届中国少儿戏曲小梅花荟萃湖南赛区展演 “优秀组织单位”、第七届“央音”青少年艺术展演湖南省总展演 “优秀组织单位”、首届“戴爱莲杯”全国少儿舞蹈展演活动（湖南赛区）优秀组织奖、第二十届全国中小学科技发明比赛湖南赛区优秀组织单位、2023年全民健身线上运动会湖南省第三届运动会（国际象棋项目）优秀组织奖等。</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市级</w:t>
      </w:r>
      <w:r>
        <w:rPr>
          <w:rFonts w:hint="eastAsia" w:ascii="仿宋_GB2312" w:hAnsi="仿宋_GB2312" w:eastAsia="仿宋_GB2312" w:cs="仿宋_GB2312"/>
          <w:color w:val="000000"/>
          <w:sz w:val="32"/>
          <w:szCs w:val="32"/>
        </w:rPr>
        <w:t>：长沙市文明（标兵）单位、长沙市涉台教育基地、长沙市社会科学普及基地、长沙市少先队校外实践教育基地等。</w:t>
      </w:r>
    </w:p>
    <w:p>
      <w:pPr>
        <w:pStyle w:val="6"/>
        <w:keepNext w:val="0"/>
        <w:keepLines w:val="0"/>
        <w:pageBreakBefore w:val="0"/>
        <w:widowControl/>
        <w:kinsoku/>
        <w:wordWrap/>
        <w:overflowPunct/>
        <w:bidi w:val="0"/>
        <w:adjustRightInd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青少年宫各项工作在</w:t>
      </w:r>
      <w:r>
        <w:rPr>
          <w:rFonts w:hint="eastAsia" w:ascii="仿宋_GB2312" w:hAnsi="仿宋_GB2312" w:eastAsia="仿宋_GB2312" w:cs="仿宋_GB2312"/>
          <w:color w:val="000000"/>
          <w:sz w:val="32"/>
          <w:szCs w:val="32"/>
        </w:rPr>
        <w:t>人民网、新华网等中央、省、市各级社会媒体对宣传推介共计52次。</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2、强化思想引领，实践育人更加生动</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b/>
          <w:color w:val="000000"/>
          <w:sz w:val="32"/>
          <w:szCs w:val="32"/>
        </w:rPr>
        <w:t>党团队一体化建强红色阵地。</w:t>
      </w:r>
      <w:r>
        <w:rPr>
          <w:rFonts w:hint="eastAsia" w:ascii="仿宋_GB2312" w:hAnsi="仿宋_GB2312" w:eastAsia="仿宋_GB2312" w:cs="仿宋_GB2312"/>
          <w:color w:val="000000"/>
          <w:sz w:val="32"/>
          <w:szCs w:val="32"/>
        </w:rPr>
        <w:t>贯彻落实党建带团建有关要求，结合青少年成长特点，扎实开展团员教育活动3次。按照少先队社会化工作新要求和新时代少先队员参与活动的新期待，全力构建新时代青少年宫少先队社会化工作体系。进一步健全校外少先队组织，不断完善队室、队角建设，举办少先队专题培训班提升辅导员专业素养，《音乐思政课》、《新时代公开课》让少先队红色教育阵地成为培养党的“红孩子”的摇篮。</w:t>
      </w:r>
      <w:r>
        <w:rPr>
          <w:rFonts w:hint="eastAsia" w:ascii="仿宋_GB2312" w:hAnsi="仿宋_GB2312" w:eastAsia="仿宋_GB2312" w:cs="仿宋_GB2312"/>
          <w:b/>
          <w:bCs/>
          <w:color w:val="000000"/>
          <w:sz w:val="32"/>
          <w:szCs w:val="32"/>
        </w:rPr>
        <w:t>依托社团激活实践育人。</w:t>
      </w:r>
      <w:r>
        <w:rPr>
          <w:rFonts w:hint="eastAsia" w:ascii="仿宋_GB2312" w:hAnsi="仿宋_GB2312" w:eastAsia="仿宋_GB2312" w:cs="仿宋_GB2312"/>
          <w:color w:val="000000"/>
          <w:sz w:val="32"/>
          <w:szCs w:val="32"/>
        </w:rPr>
        <w:t>中队辅导员积极引导、组织社团内的少先队员发挥自身特长参加社会实践活动。如招募40名语言艺术类专业的“红领巾小讲解员”拍摄中华好少年红领巾讲解员系列视频2条，在红色教育基地进行志愿服务讲解拍摄“小树苗”红领巾宣讲视频1条，视频播放量达8000余次，用小讲解员的“星星之火”，带动全市少先队员传承红色基因，讲好红色故事。</w:t>
      </w:r>
      <w:r>
        <w:rPr>
          <w:rFonts w:hint="eastAsia" w:ascii="仿宋_GB2312" w:hAnsi="仿宋_GB2312" w:eastAsia="仿宋_GB2312" w:cs="仿宋_GB2312"/>
          <w:b/>
          <w:bCs/>
          <w:color w:val="000000"/>
          <w:sz w:val="32"/>
          <w:szCs w:val="32"/>
        </w:rPr>
        <w:t>红领</w:t>
      </w:r>
      <w:r>
        <w:rPr>
          <w:rFonts w:hint="eastAsia" w:ascii="仿宋_GB2312" w:hAnsi="仿宋_GB2312" w:eastAsia="仿宋_GB2312" w:cs="仿宋_GB2312"/>
          <w:b/>
          <w:bCs/>
          <w:sz w:val="32"/>
          <w:szCs w:val="32"/>
        </w:rPr>
        <w:t>巾奖章争章实践见成效。</w:t>
      </w:r>
      <w:r>
        <w:rPr>
          <w:rFonts w:hint="eastAsia" w:ascii="仿宋_GB2312" w:hAnsi="仿宋_GB2312" w:eastAsia="仿宋_GB2312" w:cs="仿宋_GB2312"/>
          <w:sz w:val="32"/>
          <w:szCs w:val="32"/>
        </w:rPr>
        <w:t>宫少工委围绕“五育并举”目标，以基础章强化政治启蒙及价值观塑造，以校外教育特点设置特色奖章，加强学生行为习惯养成教育，深入开展了“红领巾奖章”争章实践，择优推报个人二星章90名，</w:t>
      </w:r>
      <w:r>
        <w:rPr>
          <w:rFonts w:hint="eastAsia" w:ascii="仿宋_GB2312" w:hAnsi="仿宋_GB2312" w:eastAsia="仿宋_GB2312" w:cs="仿宋_GB2312"/>
          <w:color w:val="000000"/>
          <w:sz w:val="32"/>
          <w:szCs w:val="32"/>
        </w:rPr>
        <w:t>个人三星章19名，个人四星章2名，激发了广大少先队员的光荣感、使命感和责任感，有力提升少先队工</w:t>
      </w:r>
      <w:r>
        <w:rPr>
          <w:rFonts w:hint="eastAsia" w:ascii="仿宋_GB2312" w:hAnsi="仿宋_GB2312" w:eastAsia="仿宋_GB2312" w:cs="仿宋_GB2312"/>
          <w:sz w:val="32"/>
          <w:szCs w:val="32"/>
        </w:rPr>
        <w:t>作的育人实效。</w:t>
      </w:r>
      <w:r>
        <w:rPr>
          <w:rFonts w:hint="eastAsia" w:ascii="仿宋_GB2312" w:hAnsi="仿宋_GB2312" w:eastAsia="仿宋_GB2312" w:cs="仿宋_GB2312"/>
          <w:color w:val="000000"/>
          <w:sz w:val="32"/>
          <w:szCs w:val="32"/>
        </w:rPr>
        <w:t>这些亮点项目为少先队员积极参加社会实践搭建了良好的平台、提供了丰富的载体。</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3、立足社会教育，课程育人更有质效</w:t>
      </w:r>
    </w:p>
    <w:p>
      <w:pPr>
        <w:pStyle w:val="6"/>
        <w:keepNext w:val="0"/>
        <w:keepLines w:val="0"/>
        <w:pageBreakBefore w:val="0"/>
        <w:widowControl/>
        <w:kinsoku/>
        <w:wordWrap/>
        <w:overflowPunct/>
        <w:bidi w:val="0"/>
        <w:adjustRightIn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全域发挥“青少年宫+”的协同育人合力，通过“青少年宫+社区”打造家门口的青少年宫，为有需求的青少年提供专业、温暖的课后服务；依托湖南省少先队实践地图，通过“青少年宫+校外基地”，以“行走的团徽”、“飘扬的红领巾”为主题，设计研学路线和少先队实践课程，让青少年儿童在各教育基地经受历练、获得感悟、得到成长；扎实落实“双减”，通过“青少年宫+学校”，为学校提供订单式课程服务，着力培育德智体美劳全面发展的时代新人。2023年，全宫共开办各类普惠式培训班1400个，免费培训班130个，并新增中高考艺术特长生培训、乐高机器人、普特融合特殊儿童美术班、篮球晨练、残疾人游泳等新项目10个。首次参加了中小学国标教材《义务教育教科书•音乐》的课本剧录制，小杜鹃的作品成为教材范本，成为中小学生学习的样本。组织学员参与cctv中学生频道、芒果TV等电视台节目录制9次，参加大型晚会演出18场次，举办专场晚会4场次。宫直属小杜鹃幼儿园再获“年度办学情况评估优秀单位”，举办家长开放日、“绘本留声机”等活动14次，迎接各级各类检查23次，教育教学、安全防疫、反恐防暴等各方面工作均获得高度评价。</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4、凝聚阵地力量，活动育人更受欢迎</w:t>
      </w:r>
    </w:p>
    <w:p>
      <w:pPr>
        <w:pStyle w:val="6"/>
        <w:keepNext w:val="0"/>
        <w:keepLines w:val="0"/>
        <w:pageBreakBefore w:val="0"/>
        <w:widowControl/>
        <w:kinsoku/>
        <w:wordWrap/>
        <w:overflowPunct/>
        <w:bidi w:val="0"/>
        <w:adjustRightIn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秉承“一体两翼比翼齐飞、一江两岸同步发展”思路，宫本部与各基地齐发力，精心组织开展赛事展演、科普体验、传统文化、主题教育、流动青少年宫、主题营地等系列活动，全年共举办公益活动114个，吸引10万余名青少年儿童参与。第33届“友阿杯”童星大奖赛、数独智力运动会、“预备队之歌”校外少先队风采展示、“向着明亮那方”等赛事展演活动,为4万余名青少年搭建起才艺比拼和展示交流的舞台，充分展示教学成果的同时，挖掘了一大批青少年人才；“院士来了”科普公益大讲堂、“向太空出发”等科技活动，在孩子们心里播种下科学创新的种子，影响覆盖青少年近90万人次；清明祭英烈、‘香’约端午、诗诵中秋等传统文化活动，寓教于乐，引导3万余名青少年在节日的热闹气氛中学习中华优秀传统文化，增强文化自信；以社会主义核心价值观、涉台教育、社科普及教育等为主题的专项教育活动，更是激发了2万余名青少年爱祖国、爱科学热情。此外，小杜鹃志愿服务队以流动青少年宫的形式开展丰富多彩的文化进万家活动，比如送戏进乡村，爱心支教进校园，慰问演出进社区等等。年内，志愿服务涉及雷锋故乡望城警营、湘西龙山县桂塘镇九年制学校、湖南省科技馆、浏阳市乌石完小乡村学校、湘江新区麓谷敬老院等多地，共计6场次，惠及5000余名青少年；举办的数独暨益智游戏夏令营、红领巾动感假日寒假成长营等活动，吸引近1000名青少年儿童参加，孩子们根据自己的兴趣爱好、专业特长选择各种科技、文艺、体育活动，不仅丰富了假期生活，提高了专业能力，还扩大了视野、增长了见识。</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5、紧扣时代脉搏，网络育人更有影响</w:t>
      </w:r>
    </w:p>
    <w:p>
      <w:pPr>
        <w:pStyle w:val="6"/>
        <w:keepNext w:val="0"/>
        <w:keepLines w:val="0"/>
        <w:pageBreakBefore w:val="0"/>
        <w:widowControl/>
        <w:kinsoku/>
        <w:wordWrap/>
        <w:overflowPunct/>
        <w:bidi w:val="0"/>
        <w:adjustRightInd w:val="0"/>
        <w:spacing w:line="56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color w:val="000000"/>
          <w:sz w:val="32"/>
          <w:szCs w:val="32"/>
        </w:rPr>
        <w:t>积极参演拍摄健康和富有教育意义的节目。青少年宫主动占领网络媒体新阵地，充分利用互联网的便捷优势培育和践行社会主义核心价值观，参演节目在电视台和高规格舞台演出网络播放次数超千万的共计5场次，总播放次数超亿次。其中，参演湖南卫视《新时代 新雷峰》纪念毛泽东等老一辈革命家为雷锋同志题词六十周年文艺晚会和《528宝宝志趣狂欢节》，网络播放均超4000万次；参演抗美援朝战争胜利70周年纪录片，网络播放超1000万次；参加2023年度全国“新时代好少年”先进事迹集中发布活动，网络播放超1600万次；参演“阅读新时代 谱写新篇章”第二届岳麓书会开幕式，活动相关信息11936条，有关话题流量超17亿次。</w:t>
      </w:r>
    </w:p>
    <w:p>
      <w:pPr>
        <w:pStyle w:val="6"/>
        <w:keepNext w:val="0"/>
        <w:keepLines w:val="0"/>
        <w:pageBreakBefore w:val="0"/>
        <w:widowControl/>
        <w:kinsoku/>
        <w:wordWrap/>
        <w:overflowPunct/>
        <w:bidi w:val="0"/>
        <w:adjustRightIn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6、围绕中心大局，自身建设更加严实</w:t>
      </w:r>
    </w:p>
    <w:p>
      <w:pPr>
        <w:pStyle w:val="6"/>
        <w:keepNext w:val="0"/>
        <w:keepLines w:val="0"/>
        <w:pageBreakBefore w:val="0"/>
        <w:widowControl/>
        <w:kinsoku/>
        <w:wordWrap/>
        <w:overflowPunct/>
        <w:bidi w:val="0"/>
        <w:adjustRightInd w:val="0"/>
        <w:spacing w:line="560" w:lineRule="exact"/>
        <w:ind w:firstLine="640" w:firstLineChars="200"/>
        <w:rPr>
          <w:rFonts w:eastAsia="黑体"/>
          <w:sz w:val="32"/>
          <w:szCs w:val="32"/>
        </w:rPr>
      </w:pPr>
      <w:r>
        <w:rPr>
          <w:rFonts w:hint="eastAsia" w:ascii="仿宋_GB2312" w:hAnsi="仿宋_GB2312" w:eastAsia="仿宋_GB2312" w:cs="仿宋_GB2312"/>
          <w:sz w:val="32"/>
          <w:szCs w:val="32"/>
        </w:rPr>
        <w:t>围绕全球研发中心城市建设和青年发展型城市建设，举全宫之力做好了中青企协助力全球研发中心城市接待工作，出色的表现获得省市级领导及企业家的高度肯定。</w:t>
      </w:r>
      <w:r>
        <w:rPr>
          <w:rFonts w:hint="eastAsia" w:ascii="仿宋_GB2312" w:hAnsi="仿宋_GB2312" w:eastAsia="仿宋_GB2312" w:cs="仿宋_GB2312"/>
          <w:color w:val="000000"/>
          <w:sz w:val="32"/>
          <w:szCs w:val="32"/>
        </w:rPr>
        <w:t>坚持“引进来+走出去”，年内先后接待了烟台市青少年宫、宣城市青少年活动中心等6家单位，并组织干部职工前往南京青少年宫、无锡市少年宫考察交流，在共商共享中增进情谊，相互学习青少年校外活动阵地建设的先进经验</w:t>
      </w:r>
      <w:r>
        <w:rPr>
          <w:rFonts w:hint="eastAsia" w:ascii="仿宋_GB2312" w:hAnsi="仿宋_GB2312" w:eastAsia="仿宋_GB2312" w:cs="仿宋_GB2312"/>
          <w:sz w:val="32"/>
          <w:szCs w:val="32"/>
        </w:rPr>
        <w:t>和做法。贯彻落实习近平总书记“全面推进乡村振兴，为实现农业农村现代化而不懈奋斗”的要求，圆满完成第一阶段乡村振兴任务，</w:t>
      </w:r>
      <w:r>
        <w:rPr>
          <w:rFonts w:hint="eastAsia" w:ascii="仿宋_GB2312" w:hAnsi="仿宋_GB2312" w:eastAsia="仿宋_GB2312" w:cs="仿宋_GB2312"/>
          <w:color w:val="000000"/>
          <w:sz w:val="32"/>
          <w:szCs w:val="32"/>
        </w:rPr>
        <w:t>并于今年年初选派干部驻点浏阳市乌石村担任驻村第一书记继续接力前行。年内随同团市委入村调研及开展活动4次，争取资金25万元。持续加强自身建设，不断完善各项管理制度和年度绩效考核细则。注重师德师风建设，定期组织教师参加职业道德、专业课程培训等，全年培训教师达350余人次。进一步规范场馆运营，开展综合及专项检查42次，应急演练4次，为3万余人次筑牢安全防护网。</w:t>
      </w:r>
      <w:r>
        <w:rPr>
          <w:rFonts w:hint="eastAsia" w:ascii="仿宋_GB2312" w:hAnsi="仿宋_GB2312" w:eastAsia="仿宋_GB2312" w:cs="仿宋_GB2312"/>
          <w:sz w:val="32"/>
          <w:szCs w:val="32"/>
        </w:rPr>
        <w:t>全力守护好“钱袋子”，严格落实财经纪律等相关要求，把牢收入、支出核算关，充分发挥预算管控作用，切实提高资金使用的计划性、合理性，全年总收入支出实现5412.18万元，资金使用得以充分保障。</w:t>
      </w:r>
    </w:p>
    <w:p>
      <w:pPr>
        <w:pStyle w:val="22"/>
        <w:keepNext w:val="0"/>
        <w:keepLines w:val="0"/>
        <w:pageBreakBefore w:val="0"/>
        <w:kinsoku/>
        <w:wordWrap/>
        <w:overflowPunct/>
        <w:bidi w:val="0"/>
        <w:spacing w:line="560" w:lineRule="exact"/>
        <w:ind w:firstLine="640"/>
        <w:rPr>
          <w:rFonts w:ascii="Times New Roman" w:hAnsi="Times New Roman" w:eastAsia="黑体"/>
          <w:sz w:val="32"/>
          <w:szCs w:val="32"/>
        </w:rPr>
      </w:pPr>
      <w:r>
        <w:rPr>
          <w:rFonts w:ascii="Times New Roman" w:hAnsi="Times New Roman" w:eastAsia="黑体"/>
          <w:sz w:val="32"/>
          <w:szCs w:val="32"/>
        </w:rPr>
        <w:t>九、存在的问题及原因分析</w:t>
      </w:r>
    </w:p>
    <w:p>
      <w:pPr>
        <w:keepNext w:val="0"/>
        <w:keepLines w:val="0"/>
        <w:pageBreakBefore w:val="0"/>
        <w:kinsoku/>
        <w:wordWrap/>
        <w:overflowPunct/>
        <w:topLinePunct w:val="0"/>
        <w:bidi w:val="0"/>
        <w:spacing w:line="540" w:lineRule="exac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 xml:space="preserve">  1、</w:t>
      </w:r>
      <w:r>
        <w:rPr>
          <w:rFonts w:hint="eastAsia" w:ascii="Times New Roman" w:hAnsi="Times New Roman" w:eastAsia="仿宋_GB2312" w:cs="Times New Roman"/>
          <w:kern w:val="0"/>
          <w:sz w:val="32"/>
          <w:szCs w:val="32"/>
        </w:rPr>
        <w:t>市青少年宫聚焦校外教育主业资源整合能力不强，公益活动覆盖面不够广，影响力不够大。针对青少年开展的公益性活动数量不够。如全宫开展的公益活动约</w:t>
      </w:r>
      <w:r>
        <w:rPr>
          <w:rFonts w:hint="eastAsia" w:ascii="Times New Roman" w:hAnsi="Times New Roman"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个，远不能满足青少年活动的需求。青少年宫周边有省农业厅、长沙市第一医院、省少年儿童图书馆等机关单位，但是与各单位合作开展青少年活动并不多。</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市青少年宫公益性职能体现不足。为青少年儿童提供公益免费培训班不能满足需求。虽然每年开办青少年校外普惠培训班较多，但由于校外培训场地有限，开设的免费培训班较少。能为特殊困难青少年儿童提供的免费培训项目不多，不能满足更多特殊困难青少年儿童校外培训学习需求。</w:t>
      </w:r>
      <w:r>
        <w:rPr>
          <w:rFonts w:ascii="Times New Roman" w:hAnsi="Times New Roman" w:eastAsia="仿宋_GB2312" w:cs="Times New Roman"/>
          <w:kern w:val="0"/>
          <w:sz w:val="32"/>
          <w:szCs w:val="32"/>
        </w:rPr>
        <w:cr/>
      </w:r>
      <w:r>
        <w:rPr>
          <w:rFonts w:hint="eastAsia"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绩效目标制定不科学。制定的绩效目标针对性不强，量化指标较少，定性指标较多。在绩效执行中，制定的绩效目标不容易衡量绩效是否达标。</w:t>
      </w:r>
    </w:p>
    <w:p>
      <w:pPr>
        <w:pStyle w:val="6"/>
        <w:keepNext w:val="0"/>
        <w:keepLines w:val="0"/>
        <w:pageBreakBefore w:val="0"/>
        <w:kinsoku/>
        <w:wordWrap/>
        <w:overflowPunct/>
        <w:topLinePunct w:val="0"/>
        <w:bidi w:val="0"/>
        <w:spacing w:line="540" w:lineRule="exact"/>
        <w:ind w:firstLine="640" w:firstLineChars="200"/>
        <w:rPr>
          <w:rFonts w:eastAsia="黑体"/>
          <w:sz w:val="32"/>
          <w:szCs w:val="32"/>
        </w:rPr>
      </w:pPr>
      <w:r>
        <w:rPr>
          <w:rFonts w:eastAsia="黑体"/>
          <w:sz w:val="32"/>
          <w:szCs w:val="32"/>
        </w:rPr>
        <w:t>十、下一步改进措施</w:t>
      </w:r>
    </w:p>
    <w:p>
      <w:pPr>
        <w:pStyle w:val="6"/>
        <w:keepNext w:val="0"/>
        <w:keepLines w:val="0"/>
        <w:pageBreakBefore w:val="0"/>
        <w:widowControl/>
        <w:kinsoku/>
        <w:wordWrap/>
        <w:overflowPunct/>
        <w:topLinePunct w:val="0"/>
        <w:bidi w:val="0"/>
        <w:adjustRightIn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是提高原有品牌活动的开展频率，比如“健康成长大课堂”做到每月开展一次，“飘扬的红领巾”、“行走的团徽”活动从每季度开展一次，增加为每两个月开展一次。二是推出新的品牌活动。新推出品牌活动如“红领巾沙龙”、“童眼看世界 童心探科学”科普实践活动等，每周末定期持续开展，以惠及更广大青少年。</w:t>
      </w:r>
    </w:p>
    <w:p>
      <w:pPr>
        <w:pStyle w:val="14"/>
        <w:keepNext w:val="0"/>
        <w:keepLines w:val="0"/>
        <w:pageBreakBefore w:val="0"/>
        <w:kinsoku/>
        <w:wordWrap/>
        <w:overflowPunct/>
        <w:topLinePunct w:val="0"/>
        <w:bidi w:val="0"/>
        <w:spacing w:line="540" w:lineRule="exact"/>
        <w:ind w:firstLine="640" w:firstLineChars="200"/>
        <w:rPr>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在宫本部、河西培训二部、小杜鹃素质拓展基地持续增设免费培训班，增加青少年校外免费培训项目、培训班次，增加公益活动，从每年100个公益免费班提高至每年120个公益免费班。提质改造河西培训二部，增加服务阵地，扩大培训场馆面积，增加班次。扩大特殊困难青少年儿童免费培训覆盖面，增设免费普特融合兴趣特长班。以更多公益活动覆盖影响青少年，做好青少年的政治启蒙和价值观塑造，满足更多特殊困难青少年儿童需求。</w:t>
      </w:r>
    </w:p>
    <w:p>
      <w:pPr>
        <w:pStyle w:val="6"/>
        <w:keepNext w:val="0"/>
        <w:keepLines w:val="0"/>
        <w:pageBreakBefore w:val="0"/>
        <w:kinsoku/>
        <w:wordWrap/>
        <w:overflowPunct/>
        <w:topLinePunct w:val="0"/>
        <w:bidi w:val="0"/>
        <w:spacing w:line="540" w:lineRule="exact"/>
        <w:ind w:firstLine="640" w:firstLineChars="200"/>
        <w:rPr>
          <w:rFonts w:eastAsia="黑体"/>
          <w:sz w:val="32"/>
          <w:szCs w:val="32"/>
        </w:rPr>
      </w:pPr>
      <w:r>
        <w:rPr>
          <w:rFonts w:eastAsia="黑体"/>
          <w:sz w:val="32"/>
          <w:szCs w:val="32"/>
        </w:rPr>
        <w:t>十一、绩效自评结果拟应用和公开情况</w:t>
      </w:r>
    </w:p>
    <w:p>
      <w:pPr>
        <w:pStyle w:val="6"/>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top"/>
        <w:rPr>
          <w:rFonts w:ascii="仿宋" w:hAnsi="仿宋" w:eastAsia="仿宋" w:cs="仿宋"/>
          <w:snapToGrid w:val="0"/>
          <w:color w:val="000000"/>
          <w:kern w:val="0"/>
          <w:sz w:val="32"/>
          <w:szCs w:val="32"/>
        </w:rPr>
      </w:pPr>
      <w:r>
        <w:rPr>
          <w:rFonts w:ascii="仿宋" w:hAnsi="仿宋" w:eastAsia="仿宋" w:cs="仿宋"/>
          <w:snapToGrid w:val="0"/>
          <w:color w:val="000000"/>
          <w:kern w:val="0"/>
          <w:sz w:val="32"/>
          <w:szCs w:val="32"/>
        </w:rPr>
        <w:t>1</w:t>
      </w:r>
      <w:r>
        <w:rPr>
          <w:rFonts w:hint="eastAsia" w:ascii="仿宋" w:hAnsi="仿宋" w:eastAsia="仿宋" w:cs="仿宋"/>
          <w:snapToGrid w:val="0"/>
          <w:color w:val="000000"/>
          <w:kern w:val="0"/>
          <w:sz w:val="32"/>
          <w:szCs w:val="32"/>
        </w:rPr>
        <w:t>.</w:t>
      </w:r>
      <w:r>
        <w:rPr>
          <w:rFonts w:ascii="仿宋" w:hAnsi="仿宋" w:eastAsia="仿宋" w:cs="仿宋"/>
          <w:snapToGrid w:val="0"/>
          <w:color w:val="000000"/>
          <w:kern w:val="0"/>
          <w:sz w:val="32"/>
          <w:szCs w:val="32"/>
        </w:rPr>
        <w:t>根据202</w:t>
      </w:r>
      <w:r>
        <w:rPr>
          <w:rFonts w:hint="eastAsia" w:ascii="仿宋" w:hAnsi="仿宋" w:eastAsia="仿宋" w:cs="仿宋"/>
          <w:snapToGrid w:val="0"/>
          <w:color w:val="000000"/>
          <w:kern w:val="0"/>
          <w:sz w:val="32"/>
          <w:szCs w:val="32"/>
        </w:rPr>
        <w:t>2</w:t>
      </w:r>
      <w:r>
        <w:rPr>
          <w:rFonts w:ascii="仿宋" w:hAnsi="仿宋" w:eastAsia="仿宋" w:cs="仿宋"/>
          <w:snapToGrid w:val="0"/>
          <w:color w:val="000000"/>
          <w:kern w:val="0"/>
          <w:sz w:val="32"/>
          <w:szCs w:val="32"/>
        </w:rPr>
        <w:t>年度部门整体支出绩效自评情况</w:t>
      </w:r>
      <w:r>
        <w:rPr>
          <w:rFonts w:hint="eastAsia" w:ascii="仿宋" w:hAnsi="仿宋" w:eastAsia="仿宋" w:cs="仿宋"/>
          <w:snapToGrid w:val="0"/>
          <w:color w:val="000000"/>
          <w:kern w:val="0"/>
          <w:sz w:val="32"/>
          <w:szCs w:val="32"/>
        </w:rPr>
        <w:t>，</w:t>
      </w:r>
      <w:r>
        <w:rPr>
          <w:rFonts w:ascii="仿宋" w:hAnsi="仿宋" w:eastAsia="仿宋" w:cs="仿宋"/>
          <w:snapToGrid w:val="0"/>
          <w:color w:val="000000"/>
          <w:kern w:val="0"/>
          <w:sz w:val="32"/>
          <w:szCs w:val="32"/>
        </w:rPr>
        <w:t>对预算执行中出现的情况在预算编制时进行了相应调整。</w:t>
      </w:r>
    </w:p>
    <w:p>
      <w:pPr>
        <w:pStyle w:val="6"/>
        <w:keepNext w:val="0"/>
        <w:keepLines w:val="0"/>
        <w:pageBreakBefore w:val="0"/>
        <w:kinsoku/>
        <w:wordWrap/>
        <w:overflowPunct/>
        <w:topLinePunct w:val="0"/>
        <w:autoSpaceDE w:val="0"/>
        <w:autoSpaceDN w:val="0"/>
        <w:bidi w:val="0"/>
        <w:adjustRightInd w:val="0"/>
        <w:snapToGrid w:val="0"/>
        <w:spacing w:line="540" w:lineRule="exact"/>
        <w:ind w:firstLine="640" w:firstLineChars="200"/>
        <w:textAlignment w:val="top"/>
        <w:rPr>
          <w:rFonts w:eastAsia="黑体"/>
          <w:sz w:val="32"/>
          <w:szCs w:val="32"/>
        </w:rPr>
      </w:pPr>
      <w:r>
        <w:rPr>
          <w:rFonts w:ascii="仿宋" w:hAnsi="仿宋" w:eastAsia="仿宋" w:cs="仿宋"/>
          <w:snapToGrid w:val="0"/>
          <w:color w:val="000000"/>
          <w:kern w:val="0"/>
          <w:sz w:val="32"/>
          <w:szCs w:val="32"/>
        </w:rPr>
        <w:t>2</w:t>
      </w:r>
      <w:r>
        <w:rPr>
          <w:rFonts w:hint="eastAsia" w:ascii="仿宋" w:hAnsi="仿宋" w:eastAsia="仿宋" w:cs="仿宋"/>
          <w:snapToGrid w:val="0"/>
          <w:color w:val="000000"/>
          <w:kern w:val="0"/>
          <w:sz w:val="32"/>
          <w:szCs w:val="32"/>
        </w:rPr>
        <w:t>.</w:t>
      </w:r>
      <w:r>
        <w:rPr>
          <w:rFonts w:ascii="仿宋" w:hAnsi="仿宋" w:eastAsia="仿宋" w:cs="仿宋"/>
          <w:snapToGrid w:val="0"/>
          <w:color w:val="000000"/>
          <w:kern w:val="0"/>
          <w:sz w:val="32"/>
          <w:szCs w:val="32"/>
        </w:rPr>
        <w:t>我</w:t>
      </w:r>
      <w:r>
        <w:rPr>
          <w:rFonts w:hint="eastAsia" w:ascii="仿宋" w:hAnsi="仿宋" w:eastAsia="仿宋" w:cs="仿宋"/>
          <w:snapToGrid w:val="0"/>
          <w:color w:val="000000"/>
          <w:kern w:val="0"/>
          <w:sz w:val="32"/>
          <w:szCs w:val="32"/>
        </w:rPr>
        <w:t>单位</w:t>
      </w:r>
      <w:r>
        <w:rPr>
          <w:rFonts w:ascii="仿宋" w:hAnsi="仿宋" w:eastAsia="仿宋" w:cs="仿宋"/>
          <w:snapToGrid w:val="0"/>
          <w:color w:val="000000"/>
          <w:kern w:val="0"/>
          <w:sz w:val="32"/>
          <w:szCs w:val="32"/>
        </w:rPr>
        <w:t>严格按照市财政绩效自评相关工作要求，通过长沙市预决算公开平台及本部门门户网站公开部门整体支出绩效自评报告，接受社会监督。</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300" w:lineRule="exact"/>
        <w:textAlignment w:val="auto"/>
        <w:rPr>
          <w:rFonts w:ascii="Times New Roman" w:hAnsi="Times New Roman" w:eastAsia="黑体" w:cs="Times New Roman"/>
          <w:sz w:val="21"/>
          <w:szCs w:val="21"/>
        </w:rPr>
      </w:pP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400" w:lineRule="exact"/>
        <w:textAlignment w:val="auto"/>
        <w:rPr>
          <w:rFonts w:ascii="Times New Roman" w:hAnsi="Times New Roman" w:eastAsia="黑体" w:cs="Times New Roman"/>
          <w:sz w:val="32"/>
          <w:szCs w:val="32"/>
        </w:rPr>
      </w:pP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400" w:lineRule="exact"/>
        <w:textAlignment w:val="auto"/>
        <w:rPr>
          <w:rFonts w:hint="eastAsia" w:ascii="Times New Roman" w:hAnsi="Times New Roman" w:eastAsia="黑体" w:cs="Times New Roman"/>
          <w:sz w:val="28"/>
          <w:szCs w:val="28"/>
          <w:lang w:val="en-US" w:eastAsia="zh-CN"/>
        </w:rPr>
      </w:pPr>
      <w:r>
        <w:rPr>
          <w:rFonts w:ascii="Times New Roman" w:hAnsi="Times New Roman" w:eastAsia="黑体" w:cs="Times New Roman"/>
          <w:sz w:val="32"/>
          <w:szCs w:val="32"/>
        </w:rPr>
        <w:t>附件1</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28"/>
          <w:szCs w:val="28"/>
          <w:lang w:val="en-US" w:eastAsia="zh-CN"/>
        </w:rPr>
        <w:t xml:space="preserve"> </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480" w:lineRule="exact"/>
        <w:jc w:val="center"/>
        <w:textAlignment w:val="auto"/>
        <w:rPr>
          <w:rFonts w:hint="eastAsia" w:ascii="黑体" w:hAnsi="黑体" w:eastAsia="黑体" w:cs="黑体"/>
          <w:sz w:val="36"/>
          <w:szCs w:val="36"/>
        </w:rPr>
      </w:pPr>
      <w:r>
        <w:rPr>
          <w:rFonts w:hint="eastAsia" w:ascii="黑体" w:hAnsi="黑体" w:eastAsia="黑体" w:cs="黑体"/>
          <w:sz w:val="44"/>
          <w:szCs w:val="44"/>
        </w:rPr>
        <w:t>2023年度部门整体支出绩效评价基础数据表</w:t>
      </w:r>
    </w:p>
    <w:tbl>
      <w:tblPr>
        <w:tblStyle w:val="16"/>
        <w:tblW w:w="9723" w:type="dxa"/>
        <w:jc w:val="center"/>
        <w:tblLayout w:type="fixed"/>
        <w:tblCellMar>
          <w:top w:w="0" w:type="dxa"/>
          <w:left w:w="108" w:type="dxa"/>
          <w:bottom w:w="0" w:type="dxa"/>
          <w:right w:w="108" w:type="dxa"/>
        </w:tblCellMar>
      </w:tblPr>
      <w:tblGrid>
        <w:gridCol w:w="3385"/>
        <w:gridCol w:w="1232"/>
        <w:gridCol w:w="754"/>
        <w:gridCol w:w="965"/>
        <w:gridCol w:w="1118"/>
        <w:gridCol w:w="1065"/>
        <w:gridCol w:w="1204"/>
      </w:tblGrid>
      <w:tr>
        <w:tblPrEx>
          <w:tblCellMar>
            <w:top w:w="0" w:type="dxa"/>
            <w:left w:w="108" w:type="dxa"/>
            <w:bottom w:w="0" w:type="dxa"/>
            <w:right w:w="108" w:type="dxa"/>
          </w:tblCellMar>
        </w:tblPrEx>
        <w:trPr>
          <w:wBefore w:w="0" w:type="auto"/>
          <w:trHeight w:val="397" w:hRule="atLeast"/>
          <w:jc w:val="center"/>
        </w:trPr>
        <w:tc>
          <w:tcPr>
            <w:tcW w:w="3385"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财政供养人员情况（人）</w:t>
            </w:r>
          </w:p>
        </w:tc>
        <w:tc>
          <w:tcPr>
            <w:tcW w:w="1986" w:type="dxa"/>
            <w:gridSpan w:val="2"/>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编制数</w:t>
            </w:r>
          </w:p>
        </w:tc>
        <w:tc>
          <w:tcPr>
            <w:tcW w:w="2083"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2023年实际在职人数</w:t>
            </w:r>
          </w:p>
        </w:tc>
        <w:tc>
          <w:tcPr>
            <w:tcW w:w="2269" w:type="dxa"/>
            <w:gridSpan w:val="2"/>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控制率</w:t>
            </w:r>
          </w:p>
        </w:tc>
      </w:tr>
      <w:tr>
        <w:trPr>
          <w:wBefore w:w="0" w:type="auto"/>
          <w:trHeight w:val="260" w:hRule="atLeast"/>
          <w:jc w:val="center"/>
        </w:trPr>
        <w:tc>
          <w:tcPr>
            <w:tcW w:w="3385"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c>
          <w:tcPr>
            <w:tcW w:w="1986" w:type="dxa"/>
            <w:gridSpan w:val="2"/>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113</w:t>
            </w:r>
          </w:p>
        </w:tc>
        <w:tc>
          <w:tcPr>
            <w:tcW w:w="2083" w:type="dxa"/>
            <w:gridSpan w:val="2"/>
            <w:tcBorders>
              <w:top w:val="single" w:color="auto" w:sz="4" w:space="0"/>
              <w:left w:val="nil"/>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89</w:t>
            </w:r>
          </w:p>
        </w:tc>
        <w:tc>
          <w:tcPr>
            <w:tcW w:w="2269" w:type="dxa"/>
            <w:gridSpan w:val="2"/>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78.76%</w:t>
            </w:r>
          </w:p>
        </w:tc>
      </w:tr>
      <w:tr>
        <w:tblPrEx>
          <w:tblCellMar>
            <w:top w:w="0" w:type="dxa"/>
            <w:left w:w="108" w:type="dxa"/>
            <w:bottom w:w="0" w:type="dxa"/>
            <w:right w:w="108" w:type="dxa"/>
          </w:tblCellMar>
        </w:tblPrEx>
        <w:trPr>
          <w:wBefore w:w="0" w:type="auto"/>
          <w:trHeight w:val="27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经费控制情况（万元）</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2022年决算数</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2023年预算数</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2023年决算数</w:t>
            </w:r>
          </w:p>
        </w:tc>
      </w:tr>
      <w:tr>
        <w:trPr>
          <w:wBefore w:w="0" w:type="auto"/>
          <w:trHeight w:val="32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textAlignment w:val="auto"/>
              <w:rPr>
                <w:szCs w:val="21"/>
              </w:rPr>
            </w:pPr>
            <w:r>
              <w:rPr>
                <w:szCs w:val="21"/>
              </w:rPr>
              <w:t>三公经费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2.26</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4</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3.32</w:t>
            </w:r>
          </w:p>
        </w:tc>
      </w:tr>
      <w:tr>
        <w:tblPrEx>
          <w:tblCellMar>
            <w:top w:w="0" w:type="dxa"/>
            <w:left w:w="108" w:type="dxa"/>
            <w:bottom w:w="0" w:type="dxa"/>
            <w:right w:w="108" w:type="dxa"/>
          </w:tblCellMar>
        </w:tblPrEx>
        <w:trPr>
          <w:wBefore w:w="0" w:type="auto"/>
          <w:trHeight w:val="33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ind w:firstLine="420" w:firstLineChars="200"/>
              <w:textAlignment w:val="auto"/>
              <w:rPr>
                <w:szCs w:val="21"/>
              </w:rPr>
            </w:pPr>
            <w:r>
              <w:rPr>
                <w:szCs w:val="21"/>
              </w:rPr>
              <w:t>1、公务用车购置和维护经费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2.21</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3</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2.97</w:t>
            </w:r>
          </w:p>
        </w:tc>
      </w:tr>
      <w:tr>
        <w:trPr>
          <w:wBefore w:w="0" w:type="auto"/>
          <w:trHeight w:val="32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ind w:firstLine="840" w:firstLineChars="400"/>
              <w:textAlignment w:val="auto"/>
              <w:rPr>
                <w:szCs w:val="21"/>
              </w:rPr>
            </w:pPr>
            <w:r>
              <w:rPr>
                <w:szCs w:val="21"/>
              </w:rPr>
              <w:t>其中：公车购置</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r>
      <w:tr>
        <w:tblPrEx>
          <w:tblCellMar>
            <w:top w:w="0" w:type="dxa"/>
            <w:left w:w="108" w:type="dxa"/>
            <w:bottom w:w="0" w:type="dxa"/>
            <w:right w:w="108" w:type="dxa"/>
          </w:tblCellMar>
        </w:tblPrEx>
        <w:trPr>
          <w:wBefore w:w="0" w:type="auto"/>
          <w:trHeight w:val="32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ind w:firstLine="840" w:firstLineChars="400"/>
              <w:textAlignment w:val="auto"/>
              <w:rPr>
                <w:szCs w:val="21"/>
              </w:rPr>
            </w:pPr>
            <w:r>
              <w:rPr>
                <w:szCs w:val="21"/>
              </w:rPr>
              <w:t>公车运行维护</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r>
      <w:tr>
        <w:trPr>
          <w:wBefore w:w="0" w:type="auto"/>
          <w:trHeight w:val="35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ind w:firstLine="420" w:firstLineChars="200"/>
              <w:textAlignment w:val="auto"/>
              <w:rPr>
                <w:szCs w:val="21"/>
              </w:rPr>
            </w:pPr>
            <w:r>
              <w:rPr>
                <w:szCs w:val="21"/>
              </w:rPr>
              <w:t>2、出国经费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0</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0</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0</w:t>
            </w:r>
          </w:p>
        </w:tc>
      </w:tr>
      <w:tr>
        <w:tblPrEx>
          <w:tblCellMar>
            <w:top w:w="0" w:type="dxa"/>
            <w:left w:w="108" w:type="dxa"/>
            <w:bottom w:w="0" w:type="dxa"/>
            <w:right w:w="108" w:type="dxa"/>
          </w:tblCellMar>
        </w:tblPrEx>
        <w:trPr>
          <w:wBefore w:w="0" w:type="auto"/>
          <w:trHeight w:val="32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ind w:firstLine="420" w:firstLineChars="200"/>
              <w:textAlignment w:val="auto"/>
              <w:rPr>
                <w:szCs w:val="21"/>
              </w:rPr>
            </w:pPr>
            <w:r>
              <w:rPr>
                <w:szCs w:val="21"/>
              </w:rPr>
              <w:t>3、公务接待</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0.05</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1</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0.35</w:t>
            </w:r>
          </w:p>
        </w:tc>
      </w:tr>
      <w:tr>
        <w:trPr>
          <w:wBefore w:w="0" w:type="auto"/>
          <w:trHeight w:val="33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textAlignment w:val="auto"/>
              <w:rPr>
                <w:szCs w:val="21"/>
              </w:rPr>
            </w:pPr>
            <w:r>
              <w:rPr>
                <w:szCs w:val="21"/>
              </w:rPr>
              <w:t>项目支出：</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2432.43</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4263.2</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3430.29</w:t>
            </w:r>
          </w:p>
        </w:tc>
      </w:tr>
      <w:tr>
        <w:tblPrEx>
          <w:tblCellMar>
            <w:top w:w="0" w:type="dxa"/>
            <w:left w:w="108" w:type="dxa"/>
            <w:bottom w:w="0" w:type="dxa"/>
            <w:right w:w="108" w:type="dxa"/>
          </w:tblCellMar>
        </w:tblPrEx>
        <w:trPr>
          <w:wBefore w:w="0" w:type="auto"/>
          <w:trHeight w:val="33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left"/>
              <w:textAlignment w:val="auto"/>
              <w:rPr>
                <w:szCs w:val="21"/>
              </w:rPr>
            </w:pPr>
            <w:r>
              <w:rPr>
                <w:szCs w:val="21"/>
              </w:rPr>
              <w:t>1、</w:t>
            </w:r>
            <w:r>
              <w:rPr>
                <w:rFonts w:hint="eastAsia"/>
                <w:szCs w:val="21"/>
              </w:rPr>
              <w:t>办班教学和场馆运营经费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2193.29</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3568.09</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2958.23</w:t>
            </w:r>
          </w:p>
        </w:tc>
      </w:tr>
      <w:tr>
        <w:trPr>
          <w:wBefore w:w="0" w:type="auto"/>
          <w:trHeight w:val="36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left"/>
              <w:textAlignment w:val="auto"/>
              <w:rPr>
                <w:szCs w:val="21"/>
              </w:rPr>
            </w:pPr>
            <w:r>
              <w:rPr>
                <w:szCs w:val="21"/>
              </w:rPr>
              <w:t>2、</w:t>
            </w:r>
            <w:r>
              <w:rPr>
                <w:rFonts w:hint="eastAsia"/>
                <w:szCs w:val="21"/>
              </w:rPr>
              <w:t>市老干部大学河东分校场地使用</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40</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40</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40</w:t>
            </w:r>
          </w:p>
        </w:tc>
      </w:tr>
      <w:tr>
        <w:tblPrEx>
          <w:tblCellMar>
            <w:top w:w="0" w:type="dxa"/>
            <w:left w:w="108" w:type="dxa"/>
            <w:bottom w:w="0" w:type="dxa"/>
            <w:right w:w="108" w:type="dxa"/>
          </w:tblCellMar>
        </w:tblPrEx>
        <w:trPr>
          <w:wBefore w:w="0" w:type="auto"/>
          <w:trHeight w:val="33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left"/>
              <w:textAlignment w:val="auto"/>
              <w:rPr>
                <w:szCs w:val="21"/>
              </w:rPr>
            </w:pPr>
            <w:r>
              <w:rPr>
                <w:rFonts w:hint="eastAsia"/>
                <w:szCs w:val="21"/>
              </w:rPr>
              <w:t>3、小杜鹃艺术实验学校补助经费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193.04</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200</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196.45</w:t>
            </w:r>
          </w:p>
        </w:tc>
      </w:tr>
      <w:tr>
        <w:trPr>
          <w:wBefore w:w="0" w:type="auto"/>
          <w:trHeight w:val="39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left"/>
              <w:textAlignment w:val="auto"/>
              <w:rPr>
                <w:szCs w:val="21"/>
              </w:rPr>
            </w:pPr>
            <w:r>
              <w:rPr>
                <w:rFonts w:hint="eastAsia"/>
                <w:szCs w:val="21"/>
              </w:rPr>
              <w:t>4</w:t>
            </w:r>
            <w:r>
              <w:rPr>
                <w:szCs w:val="21"/>
              </w:rPr>
              <w:t>、长沙市新青少年宫后续建设项目剩余款项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438.08</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227.02</w:t>
            </w:r>
          </w:p>
        </w:tc>
      </w:tr>
      <w:tr>
        <w:tblPrEx>
          <w:tblCellMar>
            <w:top w:w="0" w:type="dxa"/>
            <w:left w:w="108" w:type="dxa"/>
            <w:bottom w:w="0" w:type="dxa"/>
            <w:right w:w="108" w:type="dxa"/>
          </w:tblCellMar>
        </w:tblPrEx>
        <w:trPr>
          <w:wBefore w:w="0" w:type="auto"/>
          <w:trHeight w:val="35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left"/>
              <w:textAlignment w:val="auto"/>
              <w:rPr>
                <w:rFonts w:hint="eastAsia"/>
                <w:szCs w:val="21"/>
              </w:rPr>
            </w:pPr>
            <w:r>
              <w:rPr>
                <w:rFonts w:hint="eastAsia"/>
                <w:szCs w:val="21"/>
              </w:rPr>
              <w:t>5、科协项目经费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8</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3.83</w:t>
            </w:r>
          </w:p>
        </w:tc>
      </w:tr>
      <w:tr>
        <w:trPr>
          <w:wBefore w:w="0" w:type="auto"/>
          <w:trHeight w:val="39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textAlignment w:val="auto"/>
              <w:rPr>
                <w:rFonts w:hint="eastAsia"/>
                <w:szCs w:val="21"/>
              </w:rPr>
            </w:pPr>
            <w:r>
              <w:rPr>
                <w:rFonts w:hint="eastAsia"/>
                <w:szCs w:val="21"/>
              </w:rPr>
              <w:t>6、差额拨款和自收自支事业单位离休干部基本离休金等经费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6.1</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9.03</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4.76</w:t>
            </w:r>
          </w:p>
        </w:tc>
      </w:tr>
      <w:tr>
        <w:tblPrEx>
          <w:tblCellMar>
            <w:top w:w="0" w:type="dxa"/>
            <w:left w:w="108" w:type="dxa"/>
            <w:bottom w:w="0" w:type="dxa"/>
            <w:right w:w="108" w:type="dxa"/>
          </w:tblCellMar>
        </w:tblPrEx>
        <w:trPr>
          <w:wBefore w:w="0" w:type="auto"/>
          <w:trHeight w:val="32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textAlignment w:val="auto"/>
              <w:rPr>
                <w:szCs w:val="21"/>
              </w:rPr>
            </w:pPr>
            <w:r>
              <w:rPr>
                <w:szCs w:val="21"/>
              </w:rPr>
              <w:t>公用经费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r>
      <w:tr>
        <w:trPr>
          <w:wBefore w:w="0" w:type="auto"/>
          <w:trHeight w:val="33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ind w:firstLine="420" w:firstLineChars="200"/>
              <w:textAlignment w:val="auto"/>
              <w:rPr>
                <w:szCs w:val="21"/>
              </w:rPr>
            </w:pPr>
            <w:r>
              <w:rPr>
                <w:szCs w:val="21"/>
              </w:rPr>
              <w:t>其中：办公经费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color w:val="000000"/>
                <w:szCs w:val="21"/>
              </w:rPr>
            </w:pP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color w:val="000000"/>
                <w:szCs w:val="21"/>
              </w:rPr>
            </w:pPr>
            <w:r>
              <w:rPr>
                <w:rFonts w:hint="eastAsia"/>
                <w:color w:val="000000"/>
                <w:szCs w:val="21"/>
              </w:rPr>
              <w:t>20</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color w:val="000000"/>
                <w:szCs w:val="21"/>
              </w:rPr>
            </w:pPr>
            <w:r>
              <w:rPr>
                <w:rFonts w:hint="eastAsia"/>
                <w:color w:val="000000"/>
                <w:szCs w:val="21"/>
              </w:rPr>
              <w:t>20</w:t>
            </w:r>
          </w:p>
        </w:tc>
      </w:tr>
      <w:tr>
        <w:tblPrEx>
          <w:tblCellMar>
            <w:top w:w="0" w:type="dxa"/>
            <w:left w:w="108" w:type="dxa"/>
            <w:bottom w:w="0" w:type="dxa"/>
            <w:right w:w="108" w:type="dxa"/>
          </w:tblCellMar>
        </w:tblPrEx>
        <w:trPr>
          <w:wBefore w:w="0" w:type="auto"/>
          <w:trHeight w:val="35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ind w:firstLine="420" w:firstLineChars="200"/>
              <w:textAlignment w:val="auto"/>
              <w:rPr>
                <w:szCs w:val="21"/>
              </w:rPr>
            </w:pPr>
            <w:r>
              <w:rPr>
                <w:szCs w:val="21"/>
              </w:rPr>
              <w:t>水费、电费、差旅费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color w:val="000000"/>
                <w:szCs w:val="21"/>
              </w:rPr>
            </w:pPr>
            <w:r>
              <w:rPr>
                <w:rFonts w:hint="eastAsia"/>
                <w:color w:val="000000"/>
                <w:szCs w:val="21"/>
              </w:rPr>
              <w:t>24.77</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color w:val="000000"/>
                <w:szCs w:val="21"/>
              </w:rPr>
            </w:pP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color w:val="000000"/>
                <w:szCs w:val="21"/>
              </w:rPr>
            </w:pPr>
          </w:p>
        </w:tc>
      </w:tr>
      <w:tr>
        <w:trPr>
          <w:wBefore w:w="0" w:type="auto"/>
          <w:trHeight w:val="33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ind w:firstLine="420" w:firstLineChars="200"/>
              <w:textAlignment w:val="auto"/>
              <w:rPr>
                <w:szCs w:val="21"/>
              </w:rPr>
            </w:pPr>
            <w:r>
              <w:rPr>
                <w:szCs w:val="21"/>
              </w:rPr>
              <w:t>会议费、培训费</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color w:val="FF0000"/>
                <w:szCs w:val="21"/>
              </w:rPr>
            </w:pP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color w:val="FF0000"/>
                <w:szCs w:val="21"/>
              </w:rPr>
            </w:pP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color w:val="FF0000"/>
                <w:szCs w:val="21"/>
              </w:rPr>
            </w:pPr>
          </w:p>
        </w:tc>
      </w:tr>
      <w:tr>
        <w:tblPrEx>
          <w:tblCellMar>
            <w:top w:w="0" w:type="dxa"/>
            <w:left w:w="108" w:type="dxa"/>
            <w:bottom w:w="0" w:type="dxa"/>
            <w:right w:w="108" w:type="dxa"/>
          </w:tblCellMar>
        </w:tblPrEx>
        <w:trPr>
          <w:wBefore w:w="0" w:type="auto"/>
          <w:trHeight w:val="32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textAlignment w:val="auto"/>
              <w:rPr>
                <w:szCs w:val="21"/>
              </w:rPr>
            </w:pPr>
            <w:r>
              <w:rPr>
                <w:szCs w:val="21"/>
              </w:rPr>
              <w:t>政府采购金额</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736.09</w:t>
            </w: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szCs w:val="21"/>
              </w:rPr>
              <w:t>499.25</w:t>
            </w:r>
          </w:p>
        </w:tc>
      </w:tr>
      <w:tr>
        <w:trPr>
          <w:wBefore w:w="0" w:type="auto"/>
          <w:trHeight w:val="352"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textAlignment w:val="auto"/>
              <w:rPr>
                <w:szCs w:val="21"/>
              </w:rPr>
            </w:pPr>
            <w:r>
              <w:rPr>
                <w:szCs w:val="21"/>
              </w:rPr>
              <w:t>部门基本支出预算调整</w:t>
            </w:r>
          </w:p>
        </w:tc>
        <w:tc>
          <w:tcPr>
            <w:tcW w:w="1986"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w:t>
            </w:r>
          </w:p>
        </w:tc>
        <w:tc>
          <w:tcPr>
            <w:tcW w:w="2083" w:type="dxa"/>
            <w:gridSpan w:val="2"/>
            <w:tcBorders>
              <w:top w:val="single" w:color="auto" w:sz="4" w:space="0"/>
              <w:left w:val="nil"/>
              <w:bottom w:val="single" w:color="auto" w:sz="4" w:space="0"/>
              <w:right w:val="single" w:color="000000"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c>
          <w:tcPr>
            <w:tcW w:w="2269" w:type="dxa"/>
            <w:gridSpan w:val="2"/>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r>
      <w:tr>
        <w:tblPrEx>
          <w:tblCellMar>
            <w:top w:w="0" w:type="dxa"/>
            <w:left w:w="108" w:type="dxa"/>
            <w:bottom w:w="0" w:type="dxa"/>
            <w:right w:w="108" w:type="dxa"/>
          </w:tblCellMar>
        </w:tblPrEx>
        <w:trPr>
          <w:wBefore w:w="0" w:type="auto"/>
          <w:trHeight w:val="825" w:hRule="atLeast"/>
          <w:jc w:val="center"/>
        </w:trPr>
        <w:tc>
          <w:tcPr>
            <w:tcW w:w="3385" w:type="dxa"/>
            <w:vMerge w:val="restart"/>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楼堂馆所控制情况</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（2023年完工项目）</w:t>
            </w:r>
          </w:p>
        </w:tc>
        <w:tc>
          <w:tcPr>
            <w:tcW w:w="123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批复</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规模</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w:t>
            </w:r>
          </w:p>
        </w:tc>
        <w:tc>
          <w:tcPr>
            <w:tcW w:w="754"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实际</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规模（㎡）</w:t>
            </w:r>
          </w:p>
        </w:tc>
        <w:tc>
          <w:tcPr>
            <w:tcW w:w="96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规模</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控制率</w:t>
            </w:r>
          </w:p>
        </w:tc>
        <w:tc>
          <w:tcPr>
            <w:tcW w:w="1118"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预算</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投资</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（万元）</w:t>
            </w:r>
          </w:p>
        </w:tc>
        <w:tc>
          <w:tcPr>
            <w:tcW w:w="1065"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实际</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投资</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（万元）</w:t>
            </w:r>
          </w:p>
        </w:tc>
        <w:tc>
          <w:tcPr>
            <w:tcW w:w="1204"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投资概算</w:t>
            </w:r>
          </w:p>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bCs/>
                <w:szCs w:val="21"/>
              </w:rPr>
            </w:pPr>
            <w:r>
              <w:rPr>
                <w:bCs/>
                <w:szCs w:val="21"/>
              </w:rPr>
              <w:t>控制率</w:t>
            </w:r>
          </w:p>
        </w:tc>
      </w:tr>
      <w:tr>
        <w:trPr>
          <w:wBefore w:w="0" w:type="auto"/>
          <w:trHeight w:val="397" w:hRule="atLeast"/>
          <w:jc w:val="center"/>
        </w:trPr>
        <w:tc>
          <w:tcPr>
            <w:tcW w:w="3385" w:type="dxa"/>
            <w:vMerge w:val="continue"/>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p>
        </w:tc>
        <w:tc>
          <w:tcPr>
            <w:tcW w:w="123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0</w:t>
            </w:r>
          </w:p>
        </w:tc>
        <w:tc>
          <w:tcPr>
            <w:tcW w:w="754"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0</w:t>
            </w:r>
          </w:p>
        </w:tc>
        <w:tc>
          <w:tcPr>
            <w:tcW w:w="965" w:type="dxa"/>
            <w:tcBorders>
              <w:top w:val="nil"/>
              <w:left w:val="nil"/>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0</w:t>
            </w:r>
          </w:p>
        </w:tc>
        <w:tc>
          <w:tcPr>
            <w:tcW w:w="1118"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0</w:t>
            </w:r>
          </w:p>
        </w:tc>
        <w:tc>
          <w:tcPr>
            <w:tcW w:w="1065"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0</w:t>
            </w:r>
          </w:p>
        </w:tc>
        <w:tc>
          <w:tcPr>
            <w:tcW w:w="1204"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rFonts w:hint="eastAsia"/>
                <w:szCs w:val="21"/>
              </w:rPr>
            </w:pPr>
            <w:r>
              <w:rPr>
                <w:rFonts w:hint="eastAsia"/>
                <w:szCs w:val="21"/>
              </w:rPr>
              <w:t>0</w:t>
            </w:r>
          </w:p>
        </w:tc>
      </w:tr>
      <w:tr>
        <w:tblPrEx>
          <w:tblCellMar>
            <w:top w:w="0" w:type="dxa"/>
            <w:left w:w="108" w:type="dxa"/>
            <w:bottom w:w="0" w:type="dxa"/>
            <w:right w:w="108" w:type="dxa"/>
          </w:tblCellMar>
        </w:tblPrEx>
        <w:trPr>
          <w:wBefore w:w="0" w:type="auto"/>
          <w:trHeight w:val="347" w:hRule="atLeast"/>
          <w:jc w:val="center"/>
        </w:trPr>
        <w:tc>
          <w:tcPr>
            <w:tcW w:w="3385" w:type="dxa"/>
            <w:tcBorders>
              <w:top w:val="nil"/>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szCs w:val="21"/>
              </w:rPr>
              <w:t>厉行节约保障措施</w:t>
            </w:r>
          </w:p>
        </w:tc>
        <w:tc>
          <w:tcPr>
            <w:tcW w:w="6338" w:type="dxa"/>
            <w:gridSpan w:val="6"/>
            <w:tcBorders>
              <w:top w:val="single" w:color="auto" w:sz="4" w:space="0"/>
              <w:left w:val="nil"/>
              <w:bottom w:val="single" w:color="auto" w:sz="4" w:space="0"/>
              <w:right w:val="single" w:color="000000"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192" w:lineRule="auto"/>
              <w:jc w:val="center"/>
              <w:textAlignment w:val="auto"/>
              <w:rPr>
                <w:szCs w:val="21"/>
              </w:rPr>
            </w:pPr>
            <w:r>
              <w:rPr>
                <w:rFonts w:hint="eastAsia" w:ascii="仿宋" w:hAnsi="仿宋" w:eastAsia="仿宋"/>
                <w:sz w:val="24"/>
              </w:rPr>
              <w:t>1、加强宣传，增强干部职工的</w:t>
            </w:r>
            <w:r>
              <w:rPr>
                <w:rFonts w:ascii="仿宋" w:hAnsi="仿宋" w:eastAsia="仿宋"/>
                <w:sz w:val="24"/>
              </w:rPr>
              <w:t>节约意识</w:t>
            </w:r>
            <w:r>
              <w:rPr>
                <w:rFonts w:hint="eastAsia" w:ascii="仿宋" w:hAnsi="仿宋" w:eastAsia="仿宋"/>
                <w:sz w:val="24"/>
              </w:rPr>
              <w:t>。2、严格执行财务预算制度，坚持“从紧预算，从紧支出，严格调控，合理保障”的原则。3、加强因公出国（境）、公务用车、公务接待和会议管理，严格审批程序。4、加强办公设备用品管理。</w:t>
            </w:r>
            <w:r>
              <w:rPr>
                <w:rFonts w:ascii="仿宋" w:hAnsi="仿宋" w:eastAsia="仿宋"/>
                <w:sz w:val="24"/>
              </w:rPr>
              <w:t>5</w:t>
            </w:r>
            <w:r>
              <w:rPr>
                <w:rFonts w:hint="eastAsia" w:ascii="仿宋" w:hAnsi="仿宋" w:eastAsia="仿宋"/>
                <w:sz w:val="24"/>
              </w:rPr>
              <w:t>、加强用水用电管理。</w:t>
            </w:r>
            <w:r>
              <w:rPr>
                <w:rFonts w:ascii="仿宋" w:hAnsi="仿宋" w:eastAsia="仿宋"/>
                <w:sz w:val="24"/>
              </w:rPr>
              <w:t>6、节约</w:t>
            </w:r>
            <w:r>
              <w:rPr>
                <w:rFonts w:hint="eastAsia" w:ascii="仿宋" w:hAnsi="仿宋" w:eastAsia="仿宋"/>
                <w:sz w:val="24"/>
              </w:rPr>
              <w:t>通信</w:t>
            </w:r>
            <w:r>
              <w:rPr>
                <w:rFonts w:ascii="仿宋" w:hAnsi="仿宋" w:eastAsia="仿宋"/>
                <w:sz w:val="24"/>
              </w:rPr>
              <w:t>费用</w:t>
            </w:r>
            <w:r>
              <w:rPr>
                <w:rFonts w:hint="eastAsia" w:ascii="仿宋" w:hAnsi="仿宋" w:eastAsia="仿宋"/>
                <w:sz w:val="24"/>
              </w:rPr>
              <w:t>。7、加强办公设备用品管理，实行统一采购和领取登记。</w:t>
            </w:r>
          </w:p>
        </w:tc>
      </w:tr>
    </w:tbl>
    <w:p>
      <w:pPr>
        <w:pStyle w:val="6"/>
        <w:widowControl/>
        <w:spacing w:line="400" w:lineRule="exact"/>
        <w:ind w:firstLine="481" w:firstLineChars="200"/>
        <w:jc w:val="left"/>
        <w:rPr>
          <w:rFonts w:eastAsia="仿宋_GB2312"/>
          <w:sz w:val="22"/>
        </w:rPr>
      </w:pPr>
      <w:r>
        <w:rPr>
          <w:rFonts w:eastAsia="楷体_GB2312"/>
          <w:b/>
          <w:bCs/>
          <w:sz w:val="24"/>
        </w:rPr>
        <w:t>说明：“项目支出”需要填报基本支出以外的所有项目支出情况，“公用经费”填报基本支出中的一般商品和服务支出。</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400" w:lineRule="exact"/>
        <w:textAlignment w:val="auto"/>
        <w:rPr>
          <w:rFonts w:ascii="Times New Roman" w:hAnsi="Times New Roman" w:eastAsia="黑体" w:cs="Times New Roman"/>
          <w:sz w:val="32"/>
          <w:szCs w:val="32"/>
        </w:rPr>
      </w:pPr>
      <w:r>
        <w:rPr>
          <w:rFonts w:eastAsia="仿宋_GB2312"/>
          <w:sz w:val="22"/>
        </w:rPr>
        <w:br w:type="page"/>
      </w:r>
      <w:r>
        <w:rPr>
          <w:rFonts w:ascii="Times New Roman" w:hAnsi="Times New Roman" w:eastAsia="黑体" w:cs="Times New Roman"/>
          <w:sz w:val="32"/>
          <w:szCs w:val="32"/>
        </w:rPr>
        <w:t>附件2</w:t>
      </w:r>
    </w:p>
    <w:p>
      <w:pPr>
        <w:pStyle w:val="13"/>
        <w:keepNext w:val="0"/>
        <w:keepLines w:val="0"/>
        <w:pageBreakBefore w:val="0"/>
        <w:widowControl w:val="0"/>
        <w:kinsoku/>
        <w:wordWrap/>
        <w:overflowPunct w:val="0"/>
        <w:topLinePunct w:val="0"/>
        <w:autoSpaceDE/>
        <w:autoSpaceDN/>
        <w:bidi w:val="0"/>
        <w:adjustRightInd/>
        <w:snapToGrid/>
        <w:spacing w:before="0" w:beforeAutospacing="0" w:after="0" w:afterAutospacing="0" w:line="4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2023年度部门整体支出绩效自评表</w:t>
      </w:r>
    </w:p>
    <w:tbl>
      <w:tblPr>
        <w:tblStyle w:val="16"/>
        <w:tblW w:w="8794" w:type="dxa"/>
        <w:jc w:val="center"/>
        <w:tblLayout w:type="fixed"/>
        <w:tblCellMar>
          <w:top w:w="0" w:type="dxa"/>
          <w:left w:w="57" w:type="dxa"/>
          <w:bottom w:w="0" w:type="dxa"/>
          <w:right w:w="57" w:type="dxa"/>
        </w:tblCellMar>
      </w:tblPr>
      <w:tblGrid>
        <w:gridCol w:w="910"/>
        <w:gridCol w:w="360"/>
        <w:gridCol w:w="600"/>
        <w:gridCol w:w="1320"/>
        <w:gridCol w:w="1800"/>
        <w:gridCol w:w="1770"/>
        <w:gridCol w:w="546"/>
        <w:gridCol w:w="586"/>
        <w:gridCol w:w="902"/>
      </w:tblGrid>
      <w:tr>
        <w:tblPrEx>
          <w:tblCellMar>
            <w:top w:w="0" w:type="dxa"/>
            <w:left w:w="57" w:type="dxa"/>
            <w:bottom w:w="0" w:type="dxa"/>
            <w:right w:w="57" w:type="dxa"/>
          </w:tblCellMar>
        </w:tblPrEx>
        <w:trPr>
          <w:wBefore w:w="0" w:type="auto"/>
          <w:trHeight w:val="605" w:hRule="atLeast"/>
          <w:jc w:val="center"/>
        </w:trPr>
        <w:tc>
          <w:tcPr>
            <w:tcW w:w="9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widowControl/>
              <w:spacing w:line="240" w:lineRule="exact"/>
              <w:jc w:val="center"/>
              <w:rPr>
                <w:color w:val="000000"/>
                <w:szCs w:val="21"/>
              </w:rPr>
            </w:pPr>
            <w:r>
              <w:rPr>
                <w:color w:val="000000"/>
                <w:szCs w:val="21"/>
              </w:rPr>
              <w:t>预算部门名称</w:t>
            </w:r>
          </w:p>
        </w:tc>
        <w:tc>
          <w:tcPr>
            <w:tcW w:w="7884" w:type="dxa"/>
            <w:gridSpan w:val="8"/>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长沙市青少年宫</w:t>
            </w:r>
          </w:p>
        </w:tc>
      </w:tr>
      <w:tr>
        <w:tblPrEx>
          <w:tblCellMar>
            <w:top w:w="0" w:type="dxa"/>
            <w:left w:w="57" w:type="dxa"/>
            <w:bottom w:w="0" w:type="dxa"/>
            <w:right w:w="57" w:type="dxa"/>
          </w:tblCellMar>
        </w:tblPrEx>
        <w:trPr>
          <w:wBefore w:w="0" w:type="auto"/>
          <w:trHeight w:val="535" w:hRule="atLeast"/>
          <w:jc w:val="center"/>
        </w:trPr>
        <w:tc>
          <w:tcPr>
            <w:tcW w:w="910" w:type="dxa"/>
            <w:vMerge w:val="restart"/>
            <w:tcBorders>
              <w:top w:val="nil"/>
              <w:left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年度预</w:t>
            </w:r>
          </w:p>
          <w:p>
            <w:pPr>
              <w:pStyle w:val="6"/>
              <w:widowControl/>
              <w:spacing w:line="240" w:lineRule="exact"/>
              <w:jc w:val="center"/>
              <w:rPr>
                <w:color w:val="000000"/>
                <w:szCs w:val="21"/>
              </w:rPr>
            </w:pPr>
            <w:r>
              <w:rPr>
                <w:color w:val="000000"/>
                <w:szCs w:val="21"/>
              </w:rPr>
              <w:t>算申请</w:t>
            </w:r>
          </w:p>
          <w:p>
            <w:pPr>
              <w:pStyle w:val="6"/>
              <w:widowControl/>
              <w:spacing w:line="240" w:lineRule="exact"/>
              <w:jc w:val="center"/>
              <w:rPr>
                <w:color w:val="000000"/>
                <w:szCs w:val="21"/>
              </w:rPr>
            </w:pPr>
            <w:r>
              <w:rPr>
                <w:color w:val="000000"/>
                <w:szCs w:val="21"/>
              </w:rPr>
              <w:t>（万元）</w:t>
            </w:r>
          </w:p>
        </w:tc>
        <w:tc>
          <w:tcPr>
            <w:tcW w:w="960" w:type="dxa"/>
            <w:gridSpan w:val="2"/>
            <w:tcBorders>
              <w:top w:val="nil"/>
              <w:left w:val="nil"/>
              <w:bottom w:val="single" w:color="auto" w:sz="4" w:space="0"/>
              <w:right w:val="single" w:color="auto" w:sz="4" w:space="0"/>
            </w:tcBorders>
            <w:noWrap w:val="0"/>
            <w:vAlign w:val="center"/>
          </w:tcPr>
          <w:p>
            <w:pPr>
              <w:pStyle w:val="6"/>
              <w:spacing w:line="240" w:lineRule="exact"/>
              <w:jc w:val="center"/>
              <w:rPr>
                <w:szCs w:val="21"/>
              </w:rPr>
            </w:pPr>
          </w:p>
        </w:tc>
        <w:tc>
          <w:tcPr>
            <w:tcW w:w="132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年初</w:t>
            </w:r>
          </w:p>
          <w:p>
            <w:pPr>
              <w:pStyle w:val="6"/>
              <w:spacing w:line="240" w:lineRule="exact"/>
              <w:jc w:val="center"/>
              <w:rPr>
                <w:szCs w:val="21"/>
              </w:rPr>
            </w:pPr>
            <w:r>
              <w:rPr>
                <w:szCs w:val="21"/>
              </w:rPr>
              <w:t>预算数</w:t>
            </w:r>
          </w:p>
        </w:tc>
        <w:tc>
          <w:tcPr>
            <w:tcW w:w="180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全年</w:t>
            </w:r>
          </w:p>
          <w:p>
            <w:pPr>
              <w:pStyle w:val="6"/>
              <w:spacing w:line="240" w:lineRule="exact"/>
              <w:jc w:val="center"/>
              <w:rPr>
                <w:szCs w:val="21"/>
              </w:rPr>
            </w:pPr>
            <w:r>
              <w:rPr>
                <w:szCs w:val="21"/>
              </w:rPr>
              <w:t>预算数</w:t>
            </w:r>
          </w:p>
        </w:tc>
        <w:tc>
          <w:tcPr>
            <w:tcW w:w="177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全年</w:t>
            </w:r>
          </w:p>
          <w:p>
            <w:pPr>
              <w:pStyle w:val="6"/>
              <w:spacing w:line="240" w:lineRule="exact"/>
              <w:jc w:val="center"/>
              <w:rPr>
                <w:szCs w:val="21"/>
              </w:rPr>
            </w:pPr>
            <w:r>
              <w:rPr>
                <w:szCs w:val="21"/>
              </w:rPr>
              <w:t>执行数</w:t>
            </w:r>
          </w:p>
        </w:tc>
        <w:tc>
          <w:tcPr>
            <w:tcW w:w="546"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分值</w:t>
            </w:r>
          </w:p>
        </w:tc>
        <w:tc>
          <w:tcPr>
            <w:tcW w:w="586"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执行率</w:t>
            </w:r>
          </w:p>
        </w:tc>
        <w:tc>
          <w:tcPr>
            <w:tcW w:w="902"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得分</w:t>
            </w:r>
          </w:p>
        </w:tc>
      </w:tr>
      <w:tr>
        <w:tblPrEx>
          <w:tblCellMar>
            <w:top w:w="0" w:type="dxa"/>
            <w:left w:w="57" w:type="dxa"/>
            <w:bottom w:w="0" w:type="dxa"/>
            <w:right w:w="57" w:type="dxa"/>
          </w:tblCellMar>
        </w:tblPrEx>
        <w:trPr>
          <w:wBefore w:w="0" w:type="auto"/>
          <w:jc w:val="center"/>
        </w:trPr>
        <w:tc>
          <w:tcPr>
            <w:tcW w:w="910" w:type="dxa"/>
            <w:vMerge w:val="continue"/>
            <w:tcBorders>
              <w:top w:val="nil"/>
              <w:left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960" w:type="dxa"/>
            <w:gridSpan w:val="2"/>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color w:val="000000"/>
                <w:szCs w:val="21"/>
              </w:rPr>
              <w:t>年度资金总额</w:t>
            </w:r>
          </w:p>
        </w:tc>
        <w:tc>
          <w:tcPr>
            <w:tcW w:w="132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rFonts w:hint="eastAsia"/>
                <w:szCs w:val="21"/>
              </w:rPr>
              <w:t>5735.09</w:t>
            </w:r>
          </w:p>
        </w:tc>
        <w:tc>
          <w:tcPr>
            <w:tcW w:w="180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rFonts w:hint="eastAsia"/>
                <w:szCs w:val="21"/>
              </w:rPr>
              <w:t>6190.2</w:t>
            </w:r>
          </w:p>
        </w:tc>
        <w:tc>
          <w:tcPr>
            <w:tcW w:w="177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rFonts w:hint="eastAsia"/>
                <w:szCs w:val="21"/>
              </w:rPr>
              <w:t>5351.47</w:t>
            </w:r>
          </w:p>
        </w:tc>
        <w:tc>
          <w:tcPr>
            <w:tcW w:w="546"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rFonts w:hint="eastAsia"/>
                <w:szCs w:val="21"/>
              </w:rPr>
              <w:t>10</w:t>
            </w:r>
          </w:p>
        </w:tc>
        <w:tc>
          <w:tcPr>
            <w:tcW w:w="586"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rFonts w:hint="eastAsia"/>
                <w:sz w:val="18"/>
                <w:szCs w:val="18"/>
              </w:rPr>
              <w:t>86.45%</w:t>
            </w:r>
          </w:p>
        </w:tc>
        <w:tc>
          <w:tcPr>
            <w:tcW w:w="902"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rFonts w:hint="eastAsia"/>
                <w:szCs w:val="21"/>
              </w:rPr>
              <w:t>8.65</w:t>
            </w:r>
          </w:p>
        </w:tc>
      </w:tr>
      <w:tr>
        <w:tblPrEx>
          <w:tblCellMar>
            <w:top w:w="0" w:type="dxa"/>
            <w:left w:w="57" w:type="dxa"/>
            <w:bottom w:w="0" w:type="dxa"/>
            <w:right w:w="57" w:type="dxa"/>
          </w:tblCellMar>
        </w:tblPrEx>
        <w:trPr>
          <w:wBefore w:w="0" w:type="auto"/>
          <w:jc w:val="center"/>
        </w:trPr>
        <w:tc>
          <w:tcPr>
            <w:tcW w:w="910" w:type="dxa"/>
            <w:vMerge w:val="continue"/>
            <w:tcBorders>
              <w:left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4080" w:type="dxa"/>
            <w:gridSpan w:val="4"/>
            <w:tcBorders>
              <w:top w:val="nil"/>
              <w:left w:val="nil"/>
              <w:bottom w:val="single" w:color="auto" w:sz="4" w:space="0"/>
              <w:right w:val="single" w:color="auto" w:sz="4" w:space="0"/>
            </w:tcBorders>
            <w:noWrap w:val="0"/>
            <w:vAlign w:val="center"/>
          </w:tcPr>
          <w:p>
            <w:pPr>
              <w:pStyle w:val="6"/>
              <w:widowControl/>
              <w:spacing w:line="240" w:lineRule="exact"/>
              <w:rPr>
                <w:color w:val="000000"/>
                <w:szCs w:val="21"/>
              </w:rPr>
            </w:pPr>
            <w:r>
              <w:rPr>
                <w:color w:val="000000"/>
                <w:szCs w:val="21"/>
              </w:rPr>
              <w:t>按收入性质分：</w:t>
            </w:r>
          </w:p>
        </w:tc>
        <w:tc>
          <w:tcPr>
            <w:tcW w:w="3804" w:type="dxa"/>
            <w:gridSpan w:val="4"/>
            <w:tcBorders>
              <w:top w:val="nil"/>
              <w:left w:val="nil"/>
              <w:bottom w:val="single" w:color="auto" w:sz="4" w:space="0"/>
              <w:right w:val="single" w:color="auto" w:sz="4" w:space="0"/>
            </w:tcBorders>
            <w:noWrap w:val="0"/>
            <w:vAlign w:val="center"/>
          </w:tcPr>
          <w:p>
            <w:pPr>
              <w:pStyle w:val="6"/>
              <w:widowControl/>
              <w:spacing w:line="240" w:lineRule="exact"/>
              <w:rPr>
                <w:color w:val="000000"/>
                <w:szCs w:val="21"/>
              </w:rPr>
            </w:pPr>
            <w:r>
              <w:rPr>
                <w:color w:val="000000"/>
                <w:szCs w:val="21"/>
              </w:rPr>
              <w:t>按支出性质分：</w:t>
            </w:r>
          </w:p>
        </w:tc>
      </w:tr>
      <w:tr>
        <w:tblPrEx>
          <w:tblCellMar>
            <w:top w:w="0" w:type="dxa"/>
            <w:left w:w="57" w:type="dxa"/>
            <w:bottom w:w="0" w:type="dxa"/>
            <w:right w:w="57" w:type="dxa"/>
          </w:tblCellMar>
        </w:tblPrEx>
        <w:trPr>
          <w:wBefore w:w="0" w:type="auto"/>
          <w:jc w:val="center"/>
        </w:trPr>
        <w:tc>
          <w:tcPr>
            <w:tcW w:w="910" w:type="dxa"/>
            <w:vMerge w:val="continue"/>
            <w:tcBorders>
              <w:left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4080" w:type="dxa"/>
            <w:gridSpan w:val="4"/>
            <w:tcBorders>
              <w:top w:val="nil"/>
              <w:left w:val="nil"/>
              <w:bottom w:val="single" w:color="auto" w:sz="4" w:space="0"/>
              <w:right w:val="single" w:color="auto" w:sz="4" w:space="0"/>
            </w:tcBorders>
            <w:noWrap w:val="0"/>
            <w:vAlign w:val="center"/>
          </w:tcPr>
          <w:p>
            <w:pPr>
              <w:pStyle w:val="6"/>
              <w:widowControl/>
              <w:spacing w:line="240" w:lineRule="exact"/>
              <w:rPr>
                <w:color w:val="000000"/>
                <w:szCs w:val="21"/>
              </w:rPr>
            </w:pPr>
            <w:r>
              <w:rPr>
                <w:color w:val="000000"/>
                <w:szCs w:val="21"/>
              </w:rPr>
              <w:t>其中：一般公共预算：</w:t>
            </w:r>
            <w:r>
              <w:rPr>
                <w:rFonts w:hint="eastAsia"/>
                <w:color w:val="000000"/>
                <w:szCs w:val="21"/>
              </w:rPr>
              <w:t>5351.47</w:t>
            </w:r>
          </w:p>
        </w:tc>
        <w:tc>
          <w:tcPr>
            <w:tcW w:w="3804" w:type="dxa"/>
            <w:gridSpan w:val="4"/>
            <w:tcBorders>
              <w:top w:val="nil"/>
              <w:left w:val="nil"/>
              <w:bottom w:val="single" w:color="auto" w:sz="4" w:space="0"/>
              <w:right w:val="single" w:color="auto" w:sz="4" w:space="0"/>
            </w:tcBorders>
            <w:noWrap w:val="0"/>
            <w:vAlign w:val="center"/>
          </w:tcPr>
          <w:p>
            <w:pPr>
              <w:pStyle w:val="6"/>
              <w:widowControl/>
              <w:spacing w:line="240" w:lineRule="exact"/>
              <w:rPr>
                <w:color w:val="000000"/>
                <w:szCs w:val="21"/>
              </w:rPr>
            </w:pPr>
            <w:r>
              <w:rPr>
                <w:color w:val="000000"/>
                <w:szCs w:val="21"/>
              </w:rPr>
              <w:t>其中：基本支出：</w:t>
            </w:r>
            <w:r>
              <w:rPr>
                <w:rFonts w:hint="eastAsia"/>
                <w:color w:val="000000"/>
                <w:szCs w:val="21"/>
              </w:rPr>
              <w:t>1921.18</w:t>
            </w:r>
          </w:p>
        </w:tc>
      </w:tr>
      <w:tr>
        <w:tblPrEx>
          <w:tblCellMar>
            <w:top w:w="0" w:type="dxa"/>
            <w:left w:w="57" w:type="dxa"/>
            <w:bottom w:w="0" w:type="dxa"/>
            <w:right w:w="57" w:type="dxa"/>
          </w:tblCellMar>
        </w:tblPrEx>
        <w:trPr>
          <w:wBefore w:w="0" w:type="auto"/>
          <w:jc w:val="center"/>
        </w:trPr>
        <w:tc>
          <w:tcPr>
            <w:tcW w:w="910" w:type="dxa"/>
            <w:vMerge w:val="continue"/>
            <w:tcBorders>
              <w:left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4080" w:type="dxa"/>
            <w:gridSpan w:val="4"/>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rPr>
                <w:color w:val="000000"/>
                <w:szCs w:val="21"/>
              </w:rPr>
            </w:pPr>
            <w:r>
              <w:rPr>
                <w:color w:val="000000"/>
                <w:szCs w:val="21"/>
              </w:rPr>
              <w:t>政府性基金拨款：</w:t>
            </w:r>
          </w:p>
        </w:tc>
        <w:tc>
          <w:tcPr>
            <w:tcW w:w="3804" w:type="dxa"/>
            <w:gridSpan w:val="4"/>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rPr>
                <w:color w:val="000000"/>
                <w:szCs w:val="21"/>
              </w:rPr>
            </w:pPr>
            <w:r>
              <w:rPr>
                <w:color w:val="000000"/>
                <w:szCs w:val="21"/>
              </w:rPr>
              <w:t>项目支出：</w:t>
            </w:r>
            <w:r>
              <w:rPr>
                <w:rFonts w:hint="eastAsia"/>
                <w:color w:val="000000"/>
                <w:szCs w:val="21"/>
              </w:rPr>
              <w:t>3430.29</w:t>
            </w:r>
          </w:p>
        </w:tc>
      </w:tr>
      <w:tr>
        <w:tblPrEx>
          <w:tblCellMar>
            <w:top w:w="0" w:type="dxa"/>
            <w:left w:w="57" w:type="dxa"/>
            <w:bottom w:w="0" w:type="dxa"/>
            <w:right w:w="57" w:type="dxa"/>
          </w:tblCellMar>
        </w:tblPrEx>
        <w:trPr>
          <w:wBefore w:w="0" w:type="auto"/>
          <w:jc w:val="center"/>
        </w:trPr>
        <w:tc>
          <w:tcPr>
            <w:tcW w:w="910" w:type="dxa"/>
            <w:vMerge w:val="continue"/>
            <w:tcBorders>
              <w:left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4080" w:type="dxa"/>
            <w:gridSpan w:val="4"/>
            <w:tcBorders>
              <w:top w:val="nil"/>
              <w:left w:val="nil"/>
              <w:bottom w:val="single" w:color="auto" w:sz="4" w:space="0"/>
              <w:right w:val="single" w:color="auto" w:sz="4" w:space="0"/>
            </w:tcBorders>
            <w:noWrap w:val="0"/>
            <w:vAlign w:val="center"/>
          </w:tcPr>
          <w:p>
            <w:pPr>
              <w:pStyle w:val="6"/>
              <w:widowControl/>
              <w:spacing w:line="240" w:lineRule="exact"/>
              <w:rPr>
                <w:color w:val="000000"/>
                <w:szCs w:val="21"/>
              </w:rPr>
            </w:pPr>
            <w:r>
              <w:rPr>
                <w:color w:val="000000"/>
                <w:szCs w:val="21"/>
              </w:rPr>
              <w:t>纳入专户管理的非税收入拨款：</w:t>
            </w:r>
          </w:p>
        </w:tc>
        <w:tc>
          <w:tcPr>
            <w:tcW w:w="3804" w:type="dxa"/>
            <w:gridSpan w:val="4"/>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auto"/>
          <w:jc w:val="center"/>
        </w:trPr>
        <w:tc>
          <w:tcPr>
            <w:tcW w:w="910" w:type="dxa"/>
            <w:vMerge w:val="continue"/>
            <w:tcBorders>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4080" w:type="dxa"/>
            <w:gridSpan w:val="4"/>
            <w:tcBorders>
              <w:top w:val="nil"/>
              <w:left w:val="nil"/>
              <w:bottom w:val="single" w:color="auto" w:sz="4" w:space="0"/>
              <w:right w:val="single" w:color="auto" w:sz="4" w:space="0"/>
            </w:tcBorders>
            <w:noWrap w:val="0"/>
            <w:vAlign w:val="center"/>
          </w:tcPr>
          <w:p>
            <w:pPr>
              <w:pStyle w:val="6"/>
              <w:widowControl/>
              <w:spacing w:line="240" w:lineRule="exact"/>
              <w:rPr>
                <w:color w:val="000000"/>
                <w:szCs w:val="21"/>
              </w:rPr>
            </w:pPr>
            <w:r>
              <w:rPr>
                <w:color w:val="000000"/>
                <w:szCs w:val="21"/>
              </w:rPr>
              <w:t>其他资金：</w:t>
            </w:r>
          </w:p>
        </w:tc>
        <w:tc>
          <w:tcPr>
            <w:tcW w:w="3804" w:type="dxa"/>
            <w:gridSpan w:val="4"/>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auto"/>
          <w:trHeight w:val="90" w:hRule="atLeast"/>
          <w:jc w:val="center"/>
        </w:trPr>
        <w:tc>
          <w:tcPr>
            <w:tcW w:w="910"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 w:val="13"/>
                <w:szCs w:val="13"/>
              </w:rPr>
            </w:pPr>
            <w:r>
              <w:rPr>
                <w:color w:val="000000"/>
                <w:szCs w:val="21"/>
              </w:rPr>
              <w:t>年度总体目标</w:t>
            </w:r>
          </w:p>
        </w:tc>
        <w:tc>
          <w:tcPr>
            <w:tcW w:w="4080" w:type="dxa"/>
            <w:gridSpan w:val="4"/>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 w:val="13"/>
                <w:szCs w:val="13"/>
              </w:rPr>
            </w:pPr>
            <w:r>
              <w:rPr>
                <w:color w:val="000000"/>
                <w:szCs w:val="21"/>
              </w:rPr>
              <w:t>年度目标</w:t>
            </w:r>
          </w:p>
        </w:tc>
        <w:tc>
          <w:tcPr>
            <w:tcW w:w="3804"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实际完成情况</w:t>
            </w:r>
          </w:p>
        </w:tc>
      </w:tr>
      <w:tr>
        <w:tblPrEx>
          <w:tblCellMar>
            <w:top w:w="0" w:type="dxa"/>
            <w:left w:w="57" w:type="dxa"/>
            <w:bottom w:w="0" w:type="dxa"/>
            <w:right w:w="57" w:type="dxa"/>
          </w:tblCellMar>
        </w:tblPrEx>
        <w:trPr>
          <w:wBefore w:w="0" w:type="auto"/>
          <w:trHeight w:val="3360" w:hRule="atLeast"/>
          <w:jc w:val="center"/>
        </w:trPr>
        <w:tc>
          <w:tcPr>
            <w:tcW w:w="910"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 w:val="13"/>
                <w:szCs w:val="13"/>
              </w:rPr>
            </w:pPr>
          </w:p>
        </w:tc>
        <w:tc>
          <w:tcPr>
            <w:tcW w:w="4080" w:type="dxa"/>
            <w:gridSpan w:val="4"/>
            <w:tcBorders>
              <w:top w:val="single" w:color="auto" w:sz="4" w:space="0"/>
              <w:left w:val="nil"/>
              <w:bottom w:val="single" w:color="auto" w:sz="4" w:space="0"/>
              <w:right w:val="single" w:color="000000" w:sz="4" w:space="0"/>
            </w:tcBorders>
            <w:noWrap w:val="0"/>
            <w:vAlign w:val="center"/>
          </w:tcPr>
          <w:p>
            <w:pPr>
              <w:pStyle w:val="6"/>
              <w:widowControl/>
              <w:spacing w:line="180" w:lineRule="exact"/>
              <w:jc w:val="left"/>
              <w:rPr>
                <w:rFonts w:hint="eastAsia"/>
                <w:color w:val="000000"/>
                <w:sz w:val="18"/>
                <w:szCs w:val="18"/>
              </w:rPr>
            </w:pPr>
            <w:r>
              <w:rPr>
                <w:rFonts w:hint="eastAsia" w:ascii="宋体" w:hAnsi="宋体" w:cs="宋体"/>
                <w:sz w:val="18"/>
                <w:szCs w:val="18"/>
              </w:rPr>
              <w:t>2023年，青少年宫以习近平新时代中国特色社会主义思想为指导，深入贯彻落实党的二十大、十九届六中全会 及省第十二次党代会、市第十四次党代会精神，按照“三力一度”的新时代共青团工作布局， 以青春建功强省会为主题，贯彻落实“双减”政策，传承红色基因。把 绝对忠诚讲政治放在首位，把团结务实当做第一需求， 把严守底线清澈清明作为第一要义，在落实培养社会主义的建设者和接班人这个根本任务，不断巩固和扩大党 执政的青年群众基础，着力助推强省会战略这个工作主线的新征程上做出新的贡献。加大少先队工作力度，加强科技科普教育，广泛开展各类青少年社会教育和公益活动，全面落实“精准谋划、精致管理、精明增长”，以更高的政治站位、更好的奋斗姿态、更优的教育质量，凝心聚力、奋发进取，在服务青少年成长、推动社会教育事业发展的康庄大道上再创辉煌。</w:t>
            </w:r>
          </w:p>
        </w:tc>
        <w:tc>
          <w:tcPr>
            <w:tcW w:w="3804" w:type="dxa"/>
            <w:gridSpan w:val="4"/>
            <w:tcBorders>
              <w:top w:val="single" w:color="auto" w:sz="4" w:space="0"/>
              <w:left w:val="nil"/>
              <w:bottom w:val="single" w:color="auto" w:sz="4" w:space="0"/>
              <w:right w:val="single" w:color="auto" w:sz="4" w:space="0"/>
            </w:tcBorders>
            <w:noWrap w:val="0"/>
            <w:vAlign w:val="center"/>
          </w:tcPr>
          <w:p>
            <w:pPr>
              <w:pStyle w:val="6"/>
              <w:widowControl/>
              <w:spacing w:line="180" w:lineRule="exact"/>
              <w:jc w:val="left"/>
              <w:rPr>
                <w:color w:val="000000"/>
                <w:sz w:val="18"/>
                <w:szCs w:val="18"/>
              </w:rPr>
            </w:pPr>
            <w:r>
              <w:rPr>
                <w:rFonts w:ascii="宋体" w:hAnsi="宋体" w:cs="宋体"/>
                <w:sz w:val="18"/>
                <w:szCs w:val="18"/>
              </w:rPr>
              <w:t>2023年，青少年宫以习近平新时代中国特色社会主义思想为指导，深入贯彻落实党的二十大、十九届六中全会 及省第十二次党代会、市第十四次党代会精神，按照“三力一度”的新时代共青团工作布局， 以青春建功强省会为主题，贯彻落实“双减”政策，传承红色基因。把 绝对忠诚讲政治放在首位，把团结务实当做第一需求， 把严守底线清澈清明作为第一要义，在落实培养社会主义的建设者和接班人这个根本任务，不断巩固和扩大党 执政的青年群众基础，着力助推强省会战略这个工作主线的新征程上做出新的贡献。加大少先队工作力度，加强科技科普教育，广泛开展各类青少年社会教育和公益活动，全面落实“精准谋划、精致管理、精明增长”，以更高的政治站位、更好的奋斗姿态、更优的教育质量，凝心聚力、奋发进取，在服务青少年成长推动社会教育事业发展的康庄大道上再创辉煌。</w:t>
            </w:r>
          </w:p>
        </w:tc>
      </w:tr>
      <w:tr>
        <w:tblPrEx>
          <w:tblCellMar>
            <w:top w:w="0" w:type="dxa"/>
            <w:left w:w="57" w:type="dxa"/>
            <w:bottom w:w="0" w:type="dxa"/>
            <w:right w:w="57" w:type="dxa"/>
          </w:tblCellMar>
        </w:tblPrEx>
        <w:trPr>
          <w:wBefore w:w="0" w:type="auto"/>
          <w:trHeight w:val="925" w:hRule="atLeast"/>
          <w:jc w:val="center"/>
        </w:trPr>
        <w:tc>
          <w:tcPr>
            <w:tcW w:w="910" w:type="dxa"/>
            <w:vMerge w:val="restart"/>
            <w:tcBorders>
              <w:top w:val="nil"/>
              <w:left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绩</w:t>
            </w:r>
          </w:p>
          <w:p>
            <w:pPr>
              <w:pStyle w:val="6"/>
              <w:widowControl/>
              <w:spacing w:line="240" w:lineRule="exact"/>
              <w:jc w:val="center"/>
              <w:rPr>
                <w:color w:val="000000"/>
                <w:szCs w:val="21"/>
              </w:rPr>
            </w:pPr>
            <w:r>
              <w:rPr>
                <w:color w:val="000000"/>
                <w:szCs w:val="21"/>
              </w:rPr>
              <w:t>效</w:t>
            </w:r>
          </w:p>
          <w:p>
            <w:pPr>
              <w:pStyle w:val="6"/>
              <w:widowControl/>
              <w:spacing w:line="240" w:lineRule="exact"/>
              <w:jc w:val="center"/>
              <w:rPr>
                <w:color w:val="000000"/>
                <w:szCs w:val="21"/>
              </w:rPr>
            </w:pPr>
            <w:r>
              <w:rPr>
                <w:color w:val="000000"/>
                <w:szCs w:val="21"/>
              </w:rPr>
              <w:t>指</w:t>
            </w:r>
          </w:p>
          <w:p>
            <w:pPr>
              <w:pStyle w:val="6"/>
              <w:widowControl/>
              <w:spacing w:line="240" w:lineRule="exact"/>
              <w:jc w:val="center"/>
              <w:rPr>
                <w:color w:val="000000"/>
                <w:szCs w:val="21"/>
              </w:rPr>
            </w:pPr>
            <w:r>
              <w:rPr>
                <w:color w:val="000000"/>
                <w:szCs w:val="21"/>
              </w:rPr>
              <w:t>标</w:t>
            </w:r>
          </w:p>
        </w:tc>
        <w:tc>
          <w:tcPr>
            <w:tcW w:w="3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一级</w:t>
            </w:r>
          </w:p>
          <w:p>
            <w:pPr>
              <w:pStyle w:val="6"/>
              <w:widowControl/>
              <w:spacing w:line="240" w:lineRule="exact"/>
              <w:jc w:val="center"/>
              <w:rPr>
                <w:color w:val="000000"/>
                <w:szCs w:val="21"/>
              </w:rPr>
            </w:pPr>
            <w:r>
              <w:rPr>
                <w:color w:val="000000"/>
                <w:szCs w:val="21"/>
              </w:rPr>
              <w:t>指标</w:t>
            </w:r>
          </w:p>
        </w:tc>
        <w:tc>
          <w:tcPr>
            <w:tcW w:w="6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二级</w:t>
            </w:r>
          </w:p>
          <w:p>
            <w:pPr>
              <w:pStyle w:val="6"/>
              <w:widowControl/>
              <w:spacing w:line="240" w:lineRule="exact"/>
              <w:jc w:val="center"/>
              <w:rPr>
                <w:color w:val="000000"/>
                <w:szCs w:val="21"/>
              </w:rPr>
            </w:pPr>
            <w:r>
              <w:rPr>
                <w:color w:val="000000"/>
                <w:szCs w:val="21"/>
              </w:rPr>
              <w:t>指标</w:t>
            </w:r>
          </w:p>
        </w:tc>
        <w:tc>
          <w:tcPr>
            <w:tcW w:w="132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三级指标</w:t>
            </w:r>
          </w:p>
          <w:p>
            <w:pPr>
              <w:pStyle w:val="6"/>
              <w:widowControl/>
              <w:spacing w:line="240" w:lineRule="exact"/>
              <w:jc w:val="center"/>
              <w:rPr>
                <w:color w:val="000000"/>
                <w:szCs w:val="21"/>
              </w:rPr>
            </w:pPr>
            <w:r>
              <w:rPr>
                <w:color w:val="000000"/>
                <w:szCs w:val="21"/>
              </w:rPr>
              <w:t>内容</w:t>
            </w:r>
          </w:p>
        </w:tc>
        <w:tc>
          <w:tcPr>
            <w:tcW w:w="18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w:t>
            </w:r>
          </w:p>
          <w:p>
            <w:pPr>
              <w:pStyle w:val="6"/>
              <w:widowControl/>
              <w:spacing w:line="240" w:lineRule="exact"/>
              <w:jc w:val="center"/>
              <w:rPr>
                <w:color w:val="000000"/>
                <w:szCs w:val="21"/>
              </w:rPr>
            </w:pPr>
            <w:r>
              <w:rPr>
                <w:color w:val="000000"/>
                <w:szCs w:val="21"/>
              </w:rPr>
              <w:t>指标值</w:t>
            </w:r>
          </w:p>
        </w:tc>
        <w:tc>
          <w:tcPr>
            <w:tcW w:w="177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w:t>
            </w:r>
          </w:p>
          <w:p>
            <w:pPr>
              <w:pStyle w:val="6"/>
              <w:widowControl/>
              <w:spacing w:line="240" w:lineRule="exact"/>
              <w:jc w:val="center"/>
              <w:rPr>
                <w:color w:val="000000"/>
                <w:szCs w:val="21"/>
              </w:rPr>
            </w:pPr>
            <w:r>
              <w:rPr>
                <w:color w:val="000000"/>
                <w:szCs w:val="21"/>
              </w:rPr>
              <w:t>完成值</w:t>
            </w:r>
          </w:p>
        </w:tc>
        <w:tc>
          <w:tcPr>
            <w:tcW w:w="546"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分值</w:t>
            </w:r>
          </w:p>
        </w:tc>
        <w:tc>
          <w:tcPr>
            <w:tcW w:w="586"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得分</w:t>
            </w:r>
          </w:p>
        </w:tc>
        <w:tc>
          <w:tcPr>
            <w:tcW w:w="902"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偏差原因分析及</w:t>
            </w:r>
          </w:p>
          <w:p>
            <w:pPr>
              <w:pStyle w:val="6"/>
              <w:widowControl/>
              <w:spacing w:line="240" w:lineRule="exact"/>
              <w:jc w:val="center"/>
              <w:rPr>
                <w:color w:val="000000"/>
                <w:szCs w:val="21"/>
              </w:rPr>
            </w:pPr>
            <w:r>
              <w:rPr>
                <w:color w:val="000000"/>
                <w:szCs w:val="21"/>
              </w:rPr>
              <w:t>改进措施</w:t>
            </w:r>
          </w:p>
        </w:tc>
      </w:tr>
      <w:tr>
        <w:tblPrEx>
          <w:tblCellMar>
            <w:top w:w="0" w:type="dxa"/>
            <w:left w:w="57" w:type="dxa"/>
            <w:bottom w:w="0" w:type="dxa"/>
            <w:right w:w="57" w:type="dxa"/>
          </w:tblCellMar>
        </w:tblPrEx>
        <w:trPr>
          <w:wBefore w:w="0" w:type="auto"/>
          <w:trHeight w:val="68"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vMerge w:val="restart"/>
            <w:tcBorders>
              <w:top w:val="nil"/>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成本</w:t>
            </w:r>
          </w:p>
          <w:p>
            <w:pPr>
              <w:pStyle w:val="6"/>
              <w:widowControl/>
              <w:spacing w:line="240" w:lineRule="exact"/>
              <w:jc w:val="center"/>
              <w:rPr>
                <w:color w:val="000000"/>
                <w:szCs w:val="21"/>
              </w:rPr>
            </w:pPr>
            <w:r>
              <w:rPr>
                <w:color w:val="000000"/>
                <w:szCs w:val="21"/>
              </w:rPr>
              <w:t>指标</w:t>
            </w:r>
          </w:p>
        </w:tc>
        <w:tc>
          <w:tcPr>
            <w:tcW w:w="600" w:type="dxa"/>
            <w:tcBorders>
              <w:top w:val="nil"/>
              <w:left w:val="nil"/>
              <w:right w:val="single" w:color="auto" w:sz="4" w:space="0"/>
            </w:tcBorders>
            <w:noWrap w:val="0"/>
            <w:vAlign w:val="center"/>
          </w:tcPr>
          <w:p>
            <w:pPr>
              <w:pStyle w:val="6"/>
              <w:widowControl/>
              <w:spacing w:line="240" w:lineRule="exact"/>
              <w:jc w:val="center"/>
              <w:rPr>
                <w:color w:val="000000"/>
                <w:szCs w:val="21"/>
              </w:rPr>
            </w:pPr>
          </w:p>
          <w:p>
            <w:pPr>
              <w:pStyle w:val="6"/>
              <w:widowControl/>
              <w:spacing w:line="240" w:lineRule="exact"/>
              <w:jc w:val="center"/>
              <w:rPr>
                <w:color w:val="000000"/>
                <w:szCs w:val="21"/>
              </w:rPr>
            </w:pPr>
            <w:r>
              <w:rPr>
                <w:color w:val="000000"/>
                <w:szCs w:val="21"/>
              </w:rPr>
              <w:t>经济成本</w:t>
            </w:r>
          </w:p>
          <w:p>
            <w:pPr>
              <w:pStyle w:val="6"/>
              <w:widowControl/>
              <w:spacing w:line="240" w:lineRule="exact"/>
              <w:jc w:val="center"/>
              <w:rPr>
                <w:color w:val="000000"/>
                <w:szCs w:val="21"/>
              </w:rPr>
            </w:pPr>
            <w:r>
              <w:rPr>
                <w:color w:val="000000"/>
                <w:szCs w:val="21"/>
              </w:rPr>
              <w:t>指标</w:t>
            </w:r>
          </w:p>
        </w:tc>
        <w:tc>
          <w:tcPr>
            <w:tcW w:w="1320" w:type="dxa"/>
            <w:tcBorders>
              <w:top w:val="nil"/>
              <w:left w:val="nil"/>
              <w:bottom w:val="single" w:color="auto" w:sz="4" w:space="0"/>
              <w:right w:val="single" w:color="auto" w:sz="4" w:space="0"/>
            </w:tcBorders>
            <w:noWrap w:val="0"/>
            <w:vAlign w:val="top"/>
          </w:tcPr>
          <w:p>
            <w:pPr>
              <w:pStyle w:val="6"/>
              <w:keepNext w:val="0"/>
              <w:keepLines w:val="0"/>
              <w:pageBreakBefore w:val="0"/>
              <w:kinsoku/>
              <w:wordWrap/>
              <w:overflowPunct/>
              <w:topLinePunct w:val="0"/>
              <w:autoSpaceDE/>
              <w:autoSpaceDN/>
              <w:bidi w:val="0"/>
              <w:adjustRightInd/>
              <w:snapToGrid/>
              <w:spacing w:line="240" w:lineRule="exact"/>
              <w:jc w:val="left"/>
              <w:textAlignment w:val="top"/>
              <w:rPr>
                <w:rFonts w:ascii="宋体" w:hAnsi="宋体" w:cs="宋体"/>
                <w:sz w:val="18"/>
                <w:szCs w:val="18"/>
                <w:shd w:val="clear" w:color="auto" w:fill="auto"/>
              </w:rPr>
            </w:pPr>
          </w:p>
          <w:p>
            <w:pPr>
              <w:pStyle w:val="6"/>
              <w:keepNext w:val="0"/>
              <w:keepLines w:val="0"/>
              <w:pageBreakBefore w:val="0"/>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shd w:val="clear" w:color="auto" w:fill="auto"/>
              </w:rPr>
            </w:pPr>
            <w:r>
              <w:rPr>
                <w:rFonts w:ascii="宋体" w:hAnsi="宋体" w:cs="宋体"/>
                <w:sz w:val="18"/>
                <w:szCs w:val="18"/>
                <w:shd w:val="clear" w:color="auto" w:fill="auto"/>
              </w:rPr>
              <w:t>青少年宫部门整体支出</w:t>
            </w: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kinsoku/>
              <w:wordWrap/>
              <w:overflowPunct/>
              <w:topLinePunct w:val="0"/>
              <w:autoSpaceDE/>
              <w:autoSpaceDN/>
              <w:bidi w:val="0"/>
              <w:adjustRightInd/>
              <w:snapToGrid/>
              <w:spacing w:line="240" w:lineRule="exact"/>
              <w:jc w:val="left"/>
              <w:textAlignment w:val="top"/>
              <w:rPr>
                <w:rFonts w:ascii="宋体" w:hAnsi="宋体" w:cs="宋体"/>
                <w:position w:val="1"/>
                <w:sz w:val="18"/>
                <w:szCs w:val="18"/>
                <w:shd w:val="clear" w:color="auto" w:fill="auto"/>
              </w:rPr>
            </w:pPr>
          </w:p>
          <w:p>
            <w:pPr>
              <w:pStyle w:val="6"/>
              <w:keepNext w:val="0"/>
              <w:keepLines w:val="0"/>
              <w:pageBreakBefore w:val="0"/>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shd w:val="clear" w:color="auto" w:fill="auto"/>
              </w:rPr>
            </w:pPr>
            <w:r>
              <w:rPr>
                <w:rFonts w:ascii="宋体" w:hAnsi="宋体" w:cs="宋体"/>
                <w:position w:val="1"/>
                <w:sz w:val="18"/>
                <w:szCs w:val="18"/>
                <w:shd w:val="clear" w:color="auto" w:fill="auto"/>
              </w:rPr>
              <w:t>5735.09万元</w:t>
            </w:r>
          </w:p>
        </w:tc>
        <w:tc>
          <w:tcPr>
            <w:tcW w:w="1770" w:type="dxa"/>
            <w:tcBorders>
              <w:top w:val="nil"/>
              <w:left w:val="nil"/>
              <w:bottom w:val="single" w:color="auto" w:sz="4" w:space="0"/>
              <w:right w:val="single" w:color="auto" w:sz="4" w:space="0"/>
            </w:tcBorders>
            <w:noWrap w:val="0"/>
            <w:vAlign w:val="top"/>
          </w:tcPr>
          <w:p>
            <w:pPr>
              <w:pStyle w:val="6"/>
              <w:keepNext w:val="0"/>
              <w:keepLines w:val="0"/>
              <w:pageBreakBefore w:val="0"/>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shd w:val="clear" w:color="auto" w:fill="auto"/>
              </w:rPr>
            </w:pPr>
          </w:p>
          <w:p>
            <w:pPr>
              <w:pStyle w:val="6"/>
              <w:keepNext w:val="0"/>
              <w:keepLines w:val="0"/>
              <w:pageBreakBefore w:val="0"/>
              <w:kinsoku/>
              <w:wordWrap/>
              <w:overflowPunct/>
              <w:topLinePunct w:val="0"/>
              <w:autoSpaceDE/>
              <w:autoSpaceDN/>
              <w:bidi w:val="0"/>
              <w:adjustRightInd/>
              <w:snapToGrid/>
              <w:spacing w:line="240" w:lineRule="exact"/>
              <w:jc w:val="left"/>
              <w:textAlignment w:val="top"/>
              <w:rPr>
                <w:rFonts w:ascii="宋体" w:hAnsi="宋体" w:cs="宋体"/>
                <w:color w:val="000000"/>
                <w:sz w:val="18"/>
                <w:szCs w:val="18"/>
                <w:shd w:val="clear" w:color="auto" w:fill="auto"/>
              </w:rPr>
            </w:pPr>
            <w:r>
              <w:rPr>
                <w:rFonts w:hint="eastAsia" w:ascii="宋体" w:hAnsi="宋体" w:cs="宋体"/>
                <w:color w:val="000000"/>
                <w:sz w:val="18"/>
                <w:szCs w:val="18"/>
                <w:shd w:val="clear" w:color="auto" w:fill="auto"/>
              </w:rPr>
              <w:t>5351.47万元</w:t>
            </w: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ascii="宋体" w:hAnsi="宋体" w:cs="宋体"/>
                <w:color w:val="000000"/>
                <w:sz w:val="18"/>
                <w:szCs w:val="18"/>
                <w:shd w:val="clear" w:color="auto" w:fill="auto"/>
              </w:rPr>
            </w:pPr>
            <w:r>
              <w:rPr>
                <w:rFonts w:hint="eastAsia" w:ascii="宋体" w:hAnsi="宋体" w:cs="宋体"/>
                <w:color w:val="000000"/>
                <w:sz w:val="18"/>
                <w:szCs w:val="18"/>
                <w:shd w:val="clear" w:color="auto" w:fill="auto"/>
              </w:rPr>
              <w:t>10</w:t>
            </w: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ascii="宋体" w:hAnsi="宋体" w:cs="宋体"/>
                <w:color w:val="000000"/>
                <w:sz w:val="18"/>
                <w:szCs w:val="18"/>
                <w:shd w:val="clear" w:color="auto" w:fill="auto"/>
              </w:rPr>
            </w:pPr>
            <w:r>
              <w:rPr>
                <w:rFonts w:hint="eastAsia" w:ascii="宋体" w:hAnsi="宋体" w:cs="宋体"/>
                <w:color w:val="000000"/>
                <w:sz w:val="18"/>
                <w:szCs w:val="18"/>
                <w:shd w:val="clear" w:color="auto" w:fill="auto"/>
              </w:rPr>
              <w:t>8</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ascii="宋体" w:hAnsi="宋体" w:cs="宋体"/>
                <w:color w:val="000000"/>
                <w:sz w:val="18"/>
                <w:szCs w:val="18"/>
                <w:shd w:val="clear" w:color="auto" w:fill="auto"/>
              </w:rPr>
            </w:pPr>
            <w:r>
              <w:rPr>
                <w:rFonts w:hint="eastAsia" w:ascii="宋体" w:hAnsi="宋体" w:cs="宋体"/>
                <w:color w:val="000000"/>
                <w:sz w:val="18"/>
                <w:szCs w:val="18"/>
                <w:shd w:val="clear" w:color="auto" w:fill="auto"/>
              </w:rPr>
              <w:t>项目支出预算执行率偏低</w:t>
            </w:r>
          </w:p>
        </w:tc>
      </w:tr>
      <w:tr>
        <w:tblPrEx>
          <w:tblCellMar>
            <w:top w:w="0" w:type="dxa"/>
            <w:left w:w="57" w:type="dxa"/>
            <w:bottom w:w="0" w:type="dxa"/>
            <w:right w:w="57" w:type="dxa"/>
          </w:tblCellMar>
        </w:tblPrEx>
        <w:trPr>
          <w:wBefore w:w="0" w:type="auto"/>
          <w:trHeight w:val="68"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vMerge w:val="continue"/>
            <w:tcBorders>
              <w:left w:val="nil"/>
              <w:right w:val="single" w:color="auto" w:sz="4" w:space="0"/>
            </w:tcBorders>
            <w:noWrap w:val="0"/>
            <w:vAlign w:val="center"/>
          </w:tcPr>
          <w:p>
            <w:pPr>
              <w:pStyle w:val="6"/>
              <w:widowControl/>
              <w:spacing w:line="240" w:lineRule="exact"/>
              <w:jc w:val="center"/>
              <w:rPr>
                <w:color w:val="000000"/>
                <w:szCs w:val="21"/>
              </w:rPr>
            </w:pPr>
          </w:p>
        </w:tc>
        <w:tc>
          <w:tcPr>
            <w:tcW w:w="600" w:type="dxa"/>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社会成本</w:t>
            </w:r>
          </w:p>
          <w:p>
            <w:pPr>
              <w:pStyle w:val="6"/>
              <w:widowControl/>
              <w:spacing w:line="240" w:lineRule="exact"/>
              <w:jc w:val="center"/>
              <w:rPr>
                <w:color w:val="000000"/>
                <w:szCs w:val="21"/>
              </w:rPr>
            </w:pPr>
            <w:r>
              <w:rPr>
                <w:color w:val="000000"/>
                <w:szCs w:val="21"/>
              </w:rPr>
              <w:t>指标</w:t>
            </w:r>
          </w:p>
        </w:tc>
        <w:tc>
          <w:tcPr>
            <w:tcW w:w="1320"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ind w:right="27"/>
              <w:jc w:val="left"/>
              <w:textAlignment w:val="top"/>
              <w:rPr>
                <w:rFonts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ind w:right="27"/>
              <w:jc w:val="left"/>
              <w:textAlignment w:val="top"/>
              <w:rPr>
                <w:rFonts w:hint="eastAsia" w:ascii="宋体" w:hAnsi="宋体" w:cs="宋体"/>
                <w:sz w:val="18"/>
                <w:szCs w:val="18"/>
                <w:shd w:val="clear" w:color="auto" w:fill="auto"/>
              </w:rPr>
            </w:pPr>
            <w:r>
              <w:rPr>
                <w:rFonts w:ascii="宋体" w:hAnsi="宋体" w:cs="宋体"/>
                <w:sz w:val="18"/>
                <w:szCs w:val="18"/>
                <w:shd w:val="clear" w:color="auto" w:fill="auto"/>
              </w:rPr>
              <w:t>开展在编人员 线上培训和部 分职工专业技 能培训</w:t>
            </w:r>
            <w:r>
              <w:rPr>
                <w:rFonts w:hint="eastAsia" w:ascii="宋体" w:hAnsi="宋体" w:cs="宋体"/>
                <w:sz w:val="18"/>
                <w:szCs w:val="18"/>
                <w:shd w:val="clear" w:color="auto" w:fill="auto"/>
              </w:rPr>
              <w:t>，</w:t>
            </w:r>
            <w:r>
              <w:rPr>
                <w:rFonts w:ascii="宋体" w:hAnsi="宋体" w:cs="宋体"/>
                <w:sz w:val="18"/>
                <w:szCs w:val="18"/>
                <w:shd w:val="clear" w:color="auto" w:fill="auto"/>
              </w:rPr>
              <w:t>无重 大安全事故发 生，青少年宫 社会教育影响 力日益增大， 应急事件处理 妥善，获得表彰</w:t>
            </w: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132"/>
              <w:jc w:val="left"/>
              <w:textAlignment w:val="top"/>
              <w:rPr>
                <w:rFonts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ind w:right="132"/>
              <w:jc w:val="left"/>
              <w:textAlignment w:val="top"/>
              <w:rPr>
                <w:rFonts w:hint="eastAsia" w:ascii="宋体" w:hAnsi="宋体" w:cs="宋体"/>
                <w:sz w:val="18"/>
                <w:szCs w:val="18"/>
                <w:shd w:val="clear" w:color="auto" w:fill="auto"/>
              </w:rPr>
            </w:pPr>
            <w:r>
              <w:rPr>
                <w:rFonts w:ascii="宋体" w:hAnsi="宋体" w:cs="宋体"/>
                <w:sz w:val="18"/>
                <w:szCs w:val="18"/>
                <w:shd w:val="clear" w:color="auto" w:fill="auto"/>
              </w:rPr>
              <w:t>通过开展全体在编人员工作培训和部分职工各种专业技能培训提升职工的专业素 养，确保青少年 宫开展的各类培训和活动无重大安全事故，应急事件处理妥善，获得表彰3次以上</w:t>
            </w:r>
          </w:p>
        </w:tc>
        <w:tc>
          <w:tcPr>
            <w:tcW w:w="177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sz w:val="18"/>
                <w:szCs w:val="18"/>
                <w:shd w:val="clear" w:color="auto" w:fill="auto"/>
              </w:rPr>
            </w:pPr>
            <w:r>
              <w:rPr>
                <w:rFonts w:ascii="宋体" w:hAnsi="宋体" w:cs="宋体"/>
                <w:sz w:val="18"/>
                <w:szCs w:val="18"/>
                <w:shd w:val="clear" w:color="auto" w:fill="auto"/>
              </w:rPr>
              <w:t>开展在编人员线上培训和部分职工专业技能培训</w:t>
            </w:r>
            <w:r>
              <w:rPr>
                <w:rFonts w:hint="eastAsia" w:ascii="宋体" w:hAnsi="宋体" w:cs="宋体"/>
                <w:sz w:val="18"/>
                <w:szCs w:val="18"/>
                <w:shd w:val="clear" w:color="auto" w:fill="auto"/>
              </w:rPr>
              <w:t>，</w:t>
            </w:r>
            <w:r>
              <w:rPr>
                <w:rFonts w:ascii="宋体" w:hAnsi="宋体" w:cs="宋体"/>
                <w:sz w:val="18"/>
                <w:szCs w:val="18"/>
                <w:shd w:val="clear" w:color="auto" w:fill="auto"/>
              </w:rPr>
              <w:t>无重大安全事故发生，青少年宫社会教育影响力日益增大，</w:t>
            </w:r>
            <w:r>
              <w:rPr>
                <w:rFonts w:ascii="宋体" w:hAnsi="宋体" w:cs="宋体"/>
                <w:color w:val="000000"/>
                <w:sz w:val="18"/>
                <w:szCs w:val="18"/>
                <w:shd w:val="clear" w:color="auto" w:fill="auto"/>
              </w:rPr>
              <w:t xml:space="preserve"> 应急事件处理妥善，获得表彰3次以上</w:t>
            </w: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ind w:firstLine="180" w:firstLineChars="100"/>
              <w:textAlignment w:val="top"/>
              <w:rPr>
                <w:rFonts w:ascii="宋体" w:hAnsi="宋体" w:cs="宋体"/>
                <w:sz w:val="18"/>
                <w:szCs w:val="18"/>
                <w:shd w:val="clear" w:color="auto" w:fill="auto"/>
              </w:rPr>
            </w:pPr>
            <w:r>
              <w:rPr>
                <w:rFonts w:hint="eastAsia" w:ascii="宋体" w:hAnsi="宋体" w:cs="宋体"/>
                <w:sz w:val="18"/>
                <w:szCs w:val="18"/>
                <w:shd w:val="clear" w:color="auto" w:fill="auto"/>
              </w:rPr>
              <w:t>5</w:t>
            </w: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shd w:val="clear" w:color="auto" w:fill="auto"/>
              </w:rPr>
            </w:pPr>
            <w:r>
              <w:rPr>
                <w:rFonts w:hint="eastAsia" w:ascii="宋体" w:hAnsi="宋体" w:cs="宋体"/>
                <w:color w:val="000000"/>
                <w:sz w:val="18"/>
                <w:szCs w:val="18"/>
                <w:shd w:val="clear" w:color="auto" w:fill="auto"/>
              </w:rPr>
              <w:t>5</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shd w:val="clear" w:color="auto" w:fill="auto"/>
              </w:rPr>
            </w:pPr>
          </w:p>
        </w:tc>
      </w:tr>
      <w:tr>
        <w:tblPrEx>
          <w:tblCellMar>
            <w:top w:w="0" w:type="dxa"/>
            <w:left w:w="57" w:type="dxa"/>
            <w:bottom w:w="0" w:type="dxa"/>
            <w:right w:w="57" w:type="dxa"/>
          </w:tblCellMar>
        </w:tblPrEx>
        <w:trPr>
          <w:wBefore w:w="0" w:type="auto"/>
          <w:trHeight w:val="365"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vMerge w:val="continue"/>
            <w:tcBorders>
              <w:left w:val="nil"/>
              <w:right w:val="single" w:color="auto" w:sz="4" w:space="0"/>
            </w:tcBorders>
            <w:noWrap w:val="0"/>
            <w:vAlign w:val="center"/>
          </w:tcPr>
          <w:p>
            <w:pPr>
              <w:pStyle w:val="6"/>
              <w:widowControl/>
              <w:spacing w:line="240" w:lineRule="exact"/>
              <w:jc w:val="center"/>
              <w:rPr>
                <w:color w:val="000000"/>
                <w:szCs w:val="21"/>
              </w:rPr>
            </w:pPr>
          </w:p>
        </w:tc>
        <w:tc>
          <w:tcPr>
            <w:tcW w:w="600" w:type="dxa"/>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生态成本</w:t>
            </w:r>
          </w:p>
          <w:p>
            <w:pPr>
              <w:pStyle w:val="6"/>
              <w:widowControl/>
              <w:spacing w:line="240" w:lineRule="exact"/>
              <w:jc w:val="center"/>
              <w:rPr>
                <w:color w:val="000000"/>
                <w:szCs w:val="21"/>
              </w:rPr>
            </w:pPr>
            <w:r>
              <w:rPr>
                <w:color w:val="000000"/>
                <w:szCs w:val="21"/>
              </w:rPr>
              <w:t>指标</w:t>
            </w:r>
          </w:p>
        </w:tc>
        <w:tc>
          <w:tcPr>
            <w:tcW w:w="1320"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ind w:left="27" w:right="27" w:firstLine="1"/>
              <w:jc w:val="left"/>
              <w:textAlignment w:val="top"/>
              <w:rPr>
                <w:rFonts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ind w:right="27"/>
              <w:jc w:val="left"/>
              <w:textAlignment w:val="top"/>
              <w:rPr>
                <w:rFonts w:ascii="宋体" w:hAnsi="宋体" w:cs="宋体"/>
                <w:sz w:val="18"/>
                <w:szCs w:val="18"/>
                <w:shd w:val="clear" w:color="auto" w:fill="auto"/>
              </w:rPr>
            </w:pPr>
            <w:r>
              <w:rPr>
                <w:rFonts w:ascii="宋体" w:hAnsi="宋体" w:cs="宋体"/>
                <w:sz w:val="18"/>
                <w:szCs w:val="18"/>
                <w:shd w:val="clear" w:color="auto" w:fill="auto"/>
              </w:rPr>
              <w:t>生态、节能、 环保管理工作</w:t>
            </w:r>
          </w:p>
          <w:p>
            <w:pPr>
              <w:pStyle w:val="6"/>
              <w:keepNext w:val="0"/>
              <w:keepLines w:val="0"/>
              <w:pageBreakBefore w:val="0"/>
              <w:widowControl/>
              <w:kinsoku/>
              <w:wordWrap/>
              <w:overflowPunct/>
              <w:topLinePunct w:val="0"/>
              <w:autoSpaceDE/>
              <w:autoSpaceDN/>
              <w:bidi w:val="0"/>
              <w:adjustRightInd/>
              <w:snapToGrid/>
              <w:spacing w:line="240" w:lineRule="exact"/>
              <w:ind w:left="27" w:right="27" w:firstLine="1"/>
              <w:jc w:val="left"/>
              <w:textAlignment w:val="top"/>
              <w:rPr>
                <w:rFonts w:hint="eastAsia" w:ascii="宋体" w:hAnsi="宋体" w:cs="宋体"/>
                <w:sz w:val="18"/>
                <w:szCs w:val="18"/>
                <w:shd w:val="clear" w:color="auto" w:fill="auto"/>
              </w:rPr>
            </w:pP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132"/>
              <w:jc w:val="left"/>
              <w:textAlignment w:val="top"/>
              <w:rPr>
                <w:rFonts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ind w:right="132"/>
              <w:jc w:val="left"/>
              <w:textAlignment w:val="top"/>
              <w:rPr>
                <w:rFonts w:ascii="宋体" w:hAnsi="宋体" w:cs="宋体"/>
                <w:sz w:val="18"/>
                <w:szCs w:val="18"/>
                <w:shd w:val="clear" w:color="auto" w:fill="auto"/>
              </w:rPr>
            </w:pPr>
            <w:r>
              <w:rPr>
                <w:rFonts w:ascii="宋体" w:hAnsi="宋体" w:cs="宋体"/>
                <w:sz w:val="18"/>
                <w:szCs w:val="18"/>
                <w:shd w:val="clear" w:color="auto" w:fill="auto"/>
              </w:rPr>
              <w:t>做好生态、节  能、环保管理工 作，不浪费水电 气</w:t>
            </w:r>
          </w:p>
          <w:p>
            <w:pPr>
              <w:pStyle w:val="6"/>
              <w:keepNext w:val="0"/>
              <w:keepLines w:val="0"/>
              <w:pageBreakBefore w:val="0"/>
              <w:widowControl/>
              <w:kinsoku/>
              <w:wordWrap/>
              <w:overflowPunct/>
              <w:topLinePunct w:val="0"/>
              <w:autoSpaceDE/>
              <w:autoSpaceDN/>
              <w:bidi w:val="0"/>
              <w:adjustRightInd/>
              <w:snapToGrid/>
              <w:spacing w:line="240" w:lineRule="exact"/>
              <w:ind w:right="132"/>
              <w:jc w:val="left"/>
              <w:textAlignment w:val="top"/>
              <w:rPr>
                <w:rFonts w:hint="eastAsia" w:ascii="宋体" w:hAnsi="宋体" w:cs="宋体"/>
                <w:sz w:val="18"/>
                <w:szCs w:val="18"/>
                <w:shd w:val="clear" w:color="auto" w:fill="auto"/>
              </w:rPr>
            </w:pPr>
          </w:p>
        </w:tc>
        <w:tc>
          <w:tcPr>
            <w:tcW w:w="1770"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shd w:val="clear" w:color="auto" w:fill="auto"/>
              </w:rPr>
            </w:pPr>
            <w:r>
              <w:rPr>
                <w:rFonts w:ascii="宋体" w:hAnsi="宋体" w:cs="宋体"/>
                <w:sz w:val="18"/>
                <w:szCs w:val="18"/>
                <w:shd w:val="clear" w:color="auto" w:fill="auto"/>
              </w:rPr>
              <w:t>做好</w:t>
            </w:r>
            <w:r>
              <w:rPr>
                <w:rFonts w:hint="eastAsia" w:ascii="宋体" w:hAnsi="宋体" w:cs="宋体"/>
                <w:sz w:val="18"/>
                <w:szCs w:val="18"/>
                <w:shd w:val="clear" w:color="auto" w:fill="auto"/>
              </w:rPr>
              <w:t>了</w:t>
            </w:r>
            <w:r>
              <w:rPr>
                <w:rFonts w:ascii="宋体" w:hAnsi="宋体" w:cs="宋体"/>
                <w:sz w:val="18"/>
                <w:szCs w:val="18"/>
                <w:shd w:val="clear" w:color="auto" w:fill="auto"/>
              </w:rPr>
              <w:t>生态、节能、环保管理工作，不浪费水电气</w:t>
            </w: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shd w:val="clear" w:color="auto" w:fill="auto"/>
              </w:rPr>
            </w:pPr>
            <w:r>
              <w:rPr>
                <w:rFonts w:hint="eastAsia" w:ascii="宋体" w:hAnsi="宋体" w:cs="宋体"/>
                <w:color w:val="000000"/>
                <w:sz w:val="18"/>
                <w:szCs w:val="18"/>
                <w:shd w:val="clear" w:color="auto" w:fill="auto"/>
              </w:rPr>
              <w:t>5</w:t>
            </w: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shd w:val="clear" w:color="auto" w:fill="auto"/>
              </w:rPr>
            </w:pPr>
            <w:r>
              <w:rPr>
                <w:rFonts w:hint="eastAsia" w:ascii="宋体" w:hAnsi="宋体" w:cs="宋体"/>
                <w:color w:val="000000"/>
                <w:sz w:val="18"/>
                <w:szCs w:val="18"/>
                <w:shd w:val="clear" w:color="auto" w:fill="auto"/>
              </w:rPr>
              <w:t>5</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shd w:val="clear" w:color="auto" w:fill="auto"/>
              </w:rPr>
            </w:pPr>
          </w:p>
        </w:tc>
      </w:tr>
      <w:tr>
        <w:tblPrEx>
          <w:tblCellMar>
            <w:top w:w="0" w:type="dxa"/>
            <w:left w:w="57" w:type="dxa"/>
            <w:bottom w:w="0" w:type="dxa"/>
            <w:right w:w="57" w:type="dxa"/>
          </w:tblCellMar>
        </w:tblPrEx>
        <w:trPr>
          <w:wBefore w:w="0" w:type="auto"/>
          <w:trHeight w:val="68"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vMerge w:val="restart"/>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产出</w:t>
            </w:r>
          </w:p>
          <w:p>
            <w:pPr>
              <w:pStyle w:val="6"/>
              <w:widowControl/>
              <w:spacing w:line="240" w:lineRule="exact"/>
              <w:jc w:val="center"/>
              <w:rPr>
                <w:color w:val="000000"/>
                <w:szCs w:val="21"/>
              </w:rPr>
            </w:pPr>
            <w:r>
              <w:rPr>
                <w:color w:val="000000"/>
                <w:szCs w:val="21"/>
              </w:rPr>
              <w:t>指标</w:t>
            </w:r>
          </w:p>
        </w:tc>
        <w:tc>
          <w:tcPr>
            <w:tcW w:w="60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数量指标</w:t>
            </w:r>
          </w:p>
        </w:tc>
        <w:tc>
          <w:tcPr>
            <w:tcW w:w="1320"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ind w:left="27" w:right="27" w:firstLine="1"/>
              <w:jc w:val="left"/>
              <w:textAlignment w:val="top"/>
              <w:rPr>
                <w:rFonts w:hint="eastAsia" w:ascii="宋体" w:hAnsi="宋体" w:cs="宋体"/>
                <w:sz w:val="18"/>
                <w:szCs w:val="18"/>
                <w:shd w:val="clear" w:color="auto" w:fill="auto"/>
              </w:rPr>
            </w:pPr>
            <w:r>
              <w:rPr>
                <w:rFonts w:ascii="宋体" w:hAnsi="宋体" w:cs="宋体"/>
                <w:sz w:val="18"/>
                <w:szCs w:val="18"/>
                <w:shd w:val="clear" w:color="auto" w:fill="auto"/>
              </w:rPr>
              <w:t>开展免费培训 班、普惠培训 班，培训学员 人次，举办各 类公益活动次 数，宣传报道 次数，报道阅 读量次数，党 建活动次数， 上级临时交办 的任务</w:t>
            </w: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left="27" w:right="27" w:firstLine="1"/>
              <w:jc w:val="left"/>
              <w:textAlignment w:val="top"/>
              <w:rPr>
                <w:rFonts w:hint="eastAsia" w:ascii="宋体" w:hAnsi="宋体" w:cs="宋体"/>
                <w:sz w:val="18"/>
                <w:szCs w:val="18"/>
                <w:shd w:val="clear" w:color="auto" w:fill="auto"/>
              </w:rPr>
            </w:pPr>
            <w:r>
              <w:rPr>
                <w:rFonts w:ascii="宋体" w:hAnsi="宋体" w:cs="宋体"/>
                <w:sz w:val="18"/>
                <w:szCs w:val="18"/>
                <w:shd w:val="clear" w:color="auto" w:fill="auto"/>
              </w:rPr>
              <w:t>开展免费培训班 约90个，普惠培 训班约1000个， 培训学员约1万 人次，举办各类 公益活动约100 次，宣传报道约 800次，报道阅 读量约500万   次，党建活动6 次以上，完成上 级交办的临时任务</w:t>
            </w:r>
          </w:p>
        </w:tc>
        <w:tc>
          <w:tcPr>
            <w:tcW w:w="177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10"/>
              <w:jc w:val="left"/>
              <w:textAlignment w:val="top"/>
              <w:rPr>
                <w:rFonts w:hint="eastAsia" w:ascii="宋体" w:hAnsi="宋体" w:cs="宋体"/>
                <w:sz w:val="18"/>
                <w:szCs w:val="18"/>
                <w:shd w:val="clear" w:color="auto" w:fill="auto"/>
              </w:rPr>
            </w:pPr>
            <w:r>
              <w:rPr>
                <w:rFonts w:ascii="宋体" w:hAnsi="宋体" w:cs="宋体"/>
                <w:sz w:val="18"/>
                <w:szCs w:val="18"/>
                <w:shd w:val="clear" w:color="auto" w:fill="auto"/>
              </w:rPr>
              <w:t>开展免费培训班约</w:t>
            </w:r>
            <w:r>
              <w:rPr>
                <w:rFonts w:hint="eastAsia" w:ascii="宋体" w:hAnsi="宋体" w:cs="宋体"/>
                <w:sz w:val="18"/>
                <w:szCs w:val="18"/>
                <w:shd w:val="clear" w:color="auto" w:fill="auto"/>
              </w:rPr>
              <w:t>130</w:t>
            </w:r>
            <w:r>
              <w:rPr>
                <w:rFonts w:ascii="宋体" w:hAnsi="宋体" w:cs="宋体"/>
                <w:sz w:val="18"/>
                <w:szCs w:val="18"/>
                <w:shd w:val="clear" w:color="auto" w:fill="auto"/>
              </w:rPr>
              <w:t>个，普惠培训班约1</w:t>
            </w:r>
            <w:r>
              <w:rPr>
                <w:rFonts w:hint="eastAsia" w:ascii="宋体" w:hAnsi="宋体" w:cs="宋体"/>
                <w:sz w:val="18"/>
                <w:szCs w:val="18"/>
                <w:shd w:val="clear" w:color="auto" w:fill="auto"/>
              </w:rPr>
              <w:t>400</w:t>
            </w:r>
            <w:r>
              <w:rPr>
                <w:rFonts w:ascii="宋体" w:hAnsi="宋体" w:cs="宋体"/>
                <w:sz w:val="18"/>
                <w:szCs w:val="18"/>
                <w:shd w:val="clear" w:color="auto" w:fill="auto"/>
              </w:rPr>
              <w:t>个， 培训学员约1万</w:t>
            </w:r>
            <w:r>
              <w:rPr>
                <w:rFonts w:hint="eastAsia" w:ascii="宋体" w:hAnsi="宋体" w:cs="宋体"/>
                <w:sz w:val="18"/>
                <w:szCs w:val="18"/>
                <w:shd w:val="clear" w:color="auto" w:fill="auto"/>
              </w:rPr>
              <w:t>人</w:t>
            </w:r>
            <w:r>
              <w:rPr>
                <w:rFonts w:ascii="宋体" w:hAnsi="宋体" w:cs="宋体"/>
                <w:sz w:val="18"/>
                <w:szCs w:val="18"/>
                <w:shd w:val="clear" w:color="auto" w:fill="auto"/>
              </w:rPr>
              <w:t>次，举办各类公益活动</w:t>
            </w:r>
            <w:r>
              <w:rPr>
                <w:rFonts w:hint="eastAsia" w:ascii="宋体" w:hAnsi="宋体" w:cs="宋体"/>
                <w:sz w:val="18"/>
                <w:szCs w:val="18"/>
                <w:shd w:val="clear" w:color="auto" w:fill="auto"/>
              </w:rPr>
              <w:t>约114</w:t>
            </w:r>
            <w:r>
              <w:rPr>
                <w:rFonts w:ascii="宋体" w:hAnsi="宋体" w:cs="宋体"/>
                <w:sz w:val="18"/>
                <w:szCs w:val="18"/>
                <w:shd w:val="clear" w:color="auto" w:fill="auto"/>
              </w:rPr>
              <w:t xml:space="preserve"> 次，宣传报道约</w:t>
            </w:r>
            <w:r>
              <w:rPr>
                <w:rFonts w:hint="eastAsia" w:ascii="宋体" w:hAnsi="宋体" w:cs="宋体"/>
                <w:sz w:val="18"/>
                <w:szCs w:val="18"/>
                <w:shd w:val="clear" w:color="auto" w:fill="auto"/>
              </w:rPr>
              <w:t>800</w:t>
            </w:r>
            <w:r>
              <w:rPr>
                <w:rFonts w:ascii="宋体" w:hAnsi="宋体" w:cs="宋体"/>
                <w:sz w:val="18"/>
                <w:szCs w:val="18"/>
                <w:shd w:val="clear" w:color="auto" w:fill="auto"/>
              </w:rPr>
              <w:t>次，报道阅读量约500万次</w:t>
            </w:r>
            <w:r>
              <w:rPr>
                <w:rFonts w:hint="eastAsia" w:ascii="宋体" w:hAnsi="宋体" w:cs="宋体"/>
                <w:sz w:val="18"/>
                <w:szCs w:val="18"/>
                <w:shd w:val="clear" w:color="auto" w:fill="auto"/>
              </w:rPr>
              <w:t>以上</w:t>
            </w:r>
            <w:r>
              <w:rPr>
                <w:rFonts w:ascii="宋体" w:hAnsi="宋体" w:cs="宋体"/>
                <w:sz w:val="18"/>
                <w:szCs w:val="18"/>
                <w:shd w:val="clear" w:color="auto" w:fill="auto"/>
              </w:rPr>
              <w:t>，党建活动</w:t>
            </w:r>
            <w:r>
              <w:rPr>
                <w:rFonts w:hint="eastAsia" w:ascii="宋体" w:hAnsi="宋体" w:cs="宋体"/>
                <w:sz w:val="18"/>
                <w:szCs w:val="18"/>
                <w:shd w:val="clear" w:color="auto" w:fill="auto"/>
              </w:rPr>
              <w:t>20</w:t>
            </w:r>
            <w:r>
              <w:rPr>
                <w:rFonts w:ascii="宋体" w:hAnsi="宋体" w:cs="宋体"/>
                <w:sz w:val="18"/>
                <w:szCs w:val="18"/>
                <w:shd w:val="clear" w:color="auto" w:fill="auto"/>
              </w:rPr>
              <w:t xml:space="preserve"> 次以上，完成上级交办的临时任务</w:t>
            </w: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ascii="宋体" w:hAnsi="宋体" w:cs="宋体"/>
                <w:sz w:val="18"/>
                <w:szCs w:val="18"/>
                <w:shd w:val="clear" w:color="auto" w:fill="auto"/>
              </w:rPr>
            </w:pPr>
            <w:r>
              <w:rPr>
                <w:rFonts w:hint="eastAsia" w:ascii="宋体" w:hAnsi="宋体" w:cs="宋体"/>
                <w:sz w:val="18"/>
                <w:szCs w:val="18"/>
                <w:shd w:val="clear" w:color="auto" w:fill="auto"/>
              </w:rPr>
              <w:t>20</w:t>
            </w:r>
          </w:p>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ind w:right="13"/>
              <w:jc w:val="center"/>
              <w:textAlignment w:val="top"/>
              <w:rPr>
                <w:rFonts w:hint="eastAsia" w:ascii="宋体" w:hAnsi="宋体" w:cs="宋体"/>
                <w:sz w:val="18"/>
                <w:szCs w:val="18"/>
                <w:shd w:val="clear" w:color="auto" w:fill="auto"/>
              </w:rPr>
            </w:pP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shd w:val="clear" w:color="auto" w:fill="auto"/>
              </w:rPr>
            </w:pPr>
          </w:p>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ascii="宋体" w:hAnsi="宋体" w:cs="宋体"/>
                <w:color w:val="000000"/>
                <w:sz w:val="18"/>
                <w:szCs w:val="18"/>
                <w:shd w:val="clear" w:color="auto" w:fill="auto"/>
              </w:rPr>
            </w:pPr>
            <w:r>
              <w:rPr>
                <w:rFonts w:hint="eastAsia" w:ascii="宋体" w:hAnsi="宋体" w:cs="宋体"/>
                <w:color w:val="000000"/>
                <w:sz w:val="18"/>
                <w:szCs w:val="18"/>
                <w:shd w:val="clear" w:color="auto" w:fill="auto"/>
              </w:rPr>
              <w:t>20</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shd w:val="clear" w:color="auto" w:fill="auto"/>
              </w:rPr>
            </w:pPr>
          </w:p>
        </w:tc>
      </w:tr>
      <w:tr>
        <w:tblPrEx>
          <w:tblCellMar>
            <w:top w:w="0" w:type="dxa"/>
            <w:left w:w="57" w:type="dxa"/>
            <w:bottom w:w="0" w:type="dxa"/>
            <w:right w:w="57" w:type="dxa"/>
          </w:tblCellMar>
        </w:tblPrEx>
        <w:trPr>
          <w:wBefore w:w="0" w:type="auto"/>
          <w:trHeight w:val="68"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vMerge w:val="continue"/>
            <w:tcBorders>
              <w:top w:val="single" w:color="auto" w:sz="4" w:space="0"/>
              <w:left w:val="nil"/>
              <w:bottom w:val="single" w:color="auto" w:sz="4" w:space="0"/>
              <w:right w:val="single" w:color="auto" w:sz="4" w:space="0"/>
            </w:tcBorders>
            <w:noWrap w:val="0"/>
            <w:vAlign w:val="center"/>
          </w:tcPr>
          <w:p>
            <w:pPr>
              <w:pStyle w:val="6"/>
              <w:spacing w:line="240" w:lineRule="exact"/>
              <w:jc w:val="center"/>
              <w:rPr>
                <w:color w:val="000000"/>
                <w:szCs w:val="21"/>
              </w:rPr>
            </w:pPr>
          </w:p>
        </w:tc>
        <w:tc>
          <w:tcPr>
            <w:tcW w:w="60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质量指标</w:t>
            </w:r>
          </w:p>
        </w:tc>
        <w:tc>
          <w:tcPr>
            <w:tcW w:w="1320"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ind w:left="27" w:right="27" w:firstLine="1"/>
              <w:jc w:val="left"/>
              <w:textAlignment w:val="top"/>
              <w:rPr>
                <w:rFonts w:hint="eastAsia" w:ascii="宋体" w:hAnsi="宋体" w:cs="宋体"/>
                <w:sz w:val="18"/>
                <w:szCs w:val="18"/>
                <w:shd w:val="clear" w:color="auto" w:fill="auto"/>
              </w:rPr>
            </w:pPr>
            <w:r>
              <w:rPr>
                <w:rFonts w:ascii="宋体" w:hAnsi="宋体" w:cs="宋体"/>
                <w:sz w:val="18"/>
                <w:szCs w:val="18"/>
                <w:shd w:val="clear" w:color="auto" w:fill="auto"/>
              </w:rPr>
              <w:t>学员培训合  格，重大活动 有报道，培  训、活动圆满 举行，应急事 件响应</w:t>
            </w: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132"/>
              <w:jc w:val="left"/>
              <w:textAlignment w:val="top"/>
              <w:rPr>
                <w:rFonts w:hint="eastAsia" w:ascii="宋体" w:hAnsi="宋体" w:cs="宋体"/>
                <w:sz w:val="18"/>
                <w:szCs w:val="18"/>
                <w:shd w:val="clear" w:color="auto" w:fill="auto"/>
              </w:rPr>
            </w:pPr>
            <w:r>
              <w:rPr>
                <w:rFonts w:ascii="宋体" w:hAnsi="宋体" w:cs="宋体"/>
                <w:sz w:val="18"/>
                <w:szCs w:val="18"/>
                <w:shd w:val="clear" w:color="auto" w:fill="auto"/>
              </w:rPr>
              <w:t>学员培训合格率达90%，重大活动及时举办且有 报道，重大活动报道阅读量5000次以上，全年培训、活动等方面的阅读量约 500次，培训、活动完成率90% 以上，应急事件 积极响应</w:t>
            </w:r>
          </w:p>
        </w:tc>
        <w:tc>
          <w:tcPr>
            <w:tcW w:w="177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40"/>
              <w:jc w:val="left"/>
              <w:textAlignment w:val="top"/>
              <w:rPr>
                <w:rFonts w:hint="eastAsia" w:ascii="宋体" w:hAnsi="宋体" w:cs="宋体"/>
                <w:sz w:val="18"/>
                <w:szCs w:val="18"/>
                <w:shd w:val="clear" w:color="auto" w:fill="auto"/>
              </w:rPr>
            </w:pPr>
            <w:r>
              <w:rPr>
                <w:rFonts w:ascii="宋体" w:hAnsi="宋体" w:cs="宋体"/>
                <w:sz w:val="18"/>
                <w:szCs w:val="18"/>
                <w:shd w:val="clear" w:color="auto" w:fill="auto"/>
              </w:rPr>
              <w:t>学员培训合格率达90%，重大活动及时举办且有报道，重大活动报道阅读量在  5000次以上，全年培训、活动等方面的阅读量约500次，培训、 活动完成率90%以</w:t>
            </w:r>
            <w:r>
              <w:rPr>
                <w:rFonts w:hint="eastAsia" w:ascii="宋体" w:hAnsi="宋体" w:cs="宋体"/>
                <w:sz w:val="18"/>
                <w:szCs w:val="18"/>
                <w:shd w:val="clear" w:color="auto" w:fill="auto"/>
              </w:rPr>
              <w:t>上</w:t>
            </w:r>
            <w:r>
              <w:rPr>
                <w:rFonts w:ascii="宋体" w:hAnsi="宋体" w:cs="宋体"/>
                <w:sz w:val="18"/>
                <w:szCs w:val="18"/>
                <w:shd w:val="clear" w:color="auto" w:fill="auto"/>
              </w:rPr>
              <w:t>，应急事件积极响应</w:t>
            </w: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ind w:right="158"/>
              <w:jc w:val="center"/>
              <w:textAlignment w:val="top"/>
              <w:rPr>
                <w:rFonts w:ascii="宋体" w:hAnsi="宋体" w:cs="宋体"/>
                <w:sz w:val="18"/>
                <w:szCs w:val="18"/>
                <w:shd w:val="clear" w:color="auto" w:fill="auto"/>
              </w:rPr>
            </w:pPr>
            <w:r>
              <w:rPr>
                <w:rFonts w:hint="eastAsia" w:ascii="宋体" w:hAnsi="宋体" w:cs="宋体"/>
                <w:sz w:val="18"/>
                <w:szCs w:val="18"/>
                <w:shd w:val="clear" w:color="auto" w:fill="auto"/>
                <w:lang w:val="en-US" w:eastAsia="zh-CN"/>
              </w:rPr>
              <w:t xml:space="preserve"> </w:t>
            </w:r>
            <w:r>
              <w:rPr>
                <w:rFonts w:hint="eastAsia" w:ascii="宋体" w:hAnsi="宋体" w:cs="宋体"/>
                <w:sz w:val="18"/>
                <w:szCs w:val="18"/>
                <w:shd w:val="clear" w:color="auto" w:fill="auto"/>
              </w:rPr>
              <w:t>10</w:t>
            </w: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ascii="宋体" w:hAnsi="宋体" w:cs="宋体"/>
                <w:color w:val="000000"/>
                <w:sz w:val="18"/>
                <w:szCs w:val="18"/>
                <w:shd w:val="clear" w:color="auto" w:fill="auto"/>
              </w:rPr>
            </w:pPr>
            <w:r>
              <w:rPr>
                <w:rFonts w:hint="eastAsia" w:ascii="宋体" w:hAnsi="宋体" w:cs="宋体"/>
                <w:color w:val="000000"/>
                <w:sz w:val="18"/>
                <w:szCs w:val="18"/>
                <w:shd w:val="clear" w:color="auto" w:fill="auto"/>
              </w:rPr>
              <w:t>10</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shd w:val="clear" w:color="auto" w:fill="auto"/>
              </w:rPr>
            </w:pPr>
          </w:p>
        </w:tc>
      </w:tr>
      <w:tr>
        <w:tblPrEx>
          <w:tblCellMar>
            <w:top w:w="0" w:type="dxa"/>
            <w:left w:w="57" w:type="dxa"/>
            <w:bottom w:w="0" w:type="dxa"/>
            <w:right w:w="57" w:type="dxa"/>
          </w:tblCellMar>
        </w:tblPrEx>
        <w:trPr>
          <w:wBefore w:w="0" w:type="auto"/>
          <w:trHeight w:val="68"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vMerge w:val="continue"/>
            <w:tcBorders>
              <w:top w:val="single" w:color="auto" w:sz="4" w:space="0"/>
              <w:left w:val="nil"/>
              <w:bottom w:val="single" w:color="auto" w:sz="4" w:space="0"/>
              <w:right w:val="single" w:color="auto" w:sz="4" w:space="0"/>
            </w:tcBorders>
            <w:noWrap w:val="0"/>
            <w:vAlign w:val="center"/>
          </w:tcPr>
          <w:p>
            <w:pPr>
              <w:pStyle w:val="6"/>
              <w:spacing w:line="240" w:lineRule="exact"/>
              <w:jc w:val="center"/>
              <w:rPr>
                <w:color w:val="000000"/>
                <w:szCs w:val="21"/>
              </w:rPr>
            </w:pPr>
          </w:p>
        </w:tc>
        <w:tc>
          <w:tcPr>
            <w:tcW w:w="60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时效指标</w:t>
            </w:r>
          </w:p>
        </w:tc>
        <w:tc>
          <w:tcPr>
            <w:tcW w:w="1320"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ind w:left="27" w:right="27" w:firstLine="1"/>
              <w:jc w:val="left"/>
              <w:textAlignment w:val="top"/>
              <w:rPr>
                <w:rFonts w:hint="eastAsia" w:ascii="宋体" w:hAnsi="宋体" w:cs="宋体"/>
                <w:sz w:val="18"/>
                <w:szCs w:val="18"/>
              </w:rPr>
            </w:pPr>
            <w:r>
              <w:rPr>
                <w:rFonts w:ascii="宋体" w:hAnsi="宋体" w:cs="宋体"/>
                <w:sz w:val="18"/>
                <w:szCs w:val="18"/>
              </w:rPr>
              <w:t>培训、活动开 展及时，重大 活动报道及时</w:t>
            </w: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117"/>
              <w:jc w:val="left"/>
              <w:textAlignment w:val="top"/>
              <w:rPr>
                <w:rFonts w:hint="eastAsia" w:ascii="宋体" w:hAnsi="宋体" w:cs="宋体"/>
                <w:sz w:val="18"/>
                <w:szCs w:val="18"/>
              </w:rPr>
            </w:pPr>
            <w:r>
              <w:rPr>
                <w:rFonts w:ascii="宋体" w:hAnsi="宋体" w:cs="宋体"/>
                <w:sz w:val="18"/>
                <w:szCs w:val="18"/>
              </w:rPr>
              <w:t>全年培训、活动 及时性达80%， 报道及时性达90 %</w:t>
            </w:r>
          </w:p>
        </w:tc>
        <w:tc>
          <w:tcPr>
            <w:tcW w:w="177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40"/>
              <w:jc w:val="left"/>
              <w:textAlignment w:val="top"/>
              <w:rPr>
                <w:rFonts w:hint="eastAsia" w:ascii="宋体" w:hAnsi="宋体" w:cs="宋体"/>
                <w:sz w:val="18"/>
                <w:szCs w:val="18"/>
              </w:rPr>
            </w:pPr>
            <w:r>
              <w:rPr>
                <w:rFonts w:ascii="宋体" w:hAnsi="宋体" w:cs="宋体"/>
                <w:sz w:val="18"/>
                <w:szCs w:val="18"/>
              </w:rPr>
              <w:t>全年培训、活动及时性达80%， 报道及时性达90 %</w:t>
            </w: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ind w:right="158"/>
              <w:jc w:val="center"/>
              <w:textAlignment w:val="top"/>
              <w:rPr>
                <w:rFonts w:ascii="宋体" w:hAnsi="宋体" w:cs="宋体"/>
                <w:sz w:val="18"/>
                <w:szCs w:val="18"/>
              </w:rPr>
            </w:pPr>
            <w:r>
              <w:rPr>
                <w:rFonts w:hint="eastAsia" w:ascii="宋体" w:hAnsi="宋体" w:cs="宋体"/>
                <w:sz w:val="18"/>
                <w:szCs w:val="18"/>
                <w:lang w:val="en-US" w:eastAsia="zh-CN"/>
              </w:rPr>
              <w:t xml:space="preserve"> </w:t>
            </w:r>
            <w:r>
              <w:rPr>
                <w:rFonts w:hint="eastAsia" w:ascii="宋体" w:hAnsi="宋体" w:cs="宋体"/>
                <w:sz w:val="18"/>
                <w:szCs w:val="18"/>
              </w:rPr>
              <w:t>10</w:t>
            </w: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ascii="宋体" w:hAnsi="宋体" w:cs="宋体"/>
                <w:color w:val="000000"/>
                <w:sz w:val="18"/>
                <w:szCs w:val="18"/>
              </w:rPr>
            </w:pPr>
            <w:r>
              <w:rPr>
                <w:rFonts w:hint="eastAsia" w:ascii="宋体" w:hAnsi="宋体" w:cs="宋体"/>
                <w:color w:val="000000"/>
                <w:sz w:val="18"/>
                <w:szCs w:val="18"/>
              </w:rPr>
              <w:t>10</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rPr>
            </w:pPr>
          </w:p>
        </w:tc>
      </w:tr>
      <w:tr>
        <w:tblPrEx>
          <w:tblCellMar>
            <w:top w:w="0" w:type="dxa"/>
            <w:left w:w="57" w:type="dxa"/>
            <w:bottom w:w="0" w:type="dxa"/>
            <w:right w:w="57" w:type="dxa"/>
          </w:tblCellMar>
        </w:tblPrEx>
        <w:trPr>
          <w:wBefore w:w="0" w:type="auto"/>
          <w:trHeight w:val="68"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vMerge w:val="restart"/>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效益</w:t>
            </w:r>
          </w:p>
          <w:p>
            <w:pPr>
              <w:pStyle w:val="6"/>
              <w:widowControl/>
              <w:spacing w:line="240" w:lineRule="exact"/>
              <w:jc w:val="center"/>
              <w:rPr>
                <w:color w:val="000000"/>
                <w:szCs w:val="21"/>
              </w:rPr>
            </w:pPr>
            <w:r>
              <w:rPr>
                <w:color w:val="000000"/>
                <w:szCs w:val="21"/>
              </w:rPr>
              <w:t>指标</w:t>
            </w:r>
          </w:p>
        </w:tc>
        <w:tc>
          <w:tcPr>
            <w:tcW w:w="60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经济效</w:t>
            </w:r>
          </w:p>
          <w:p>
            <w:pPr>
              <w:pStyle w:val="6"/>
              <w:widowControl/>
              <w:spacing w:line="240" w:lineRule="exact"/>
              <w:jc w:val="center"/>
              <w:rPr>
                <w:color w:val="000000"/>
                <w:szCs w:val="21"/>
              </w:rPr>
            </w:pPr>
            <w:r>
              <w:rPr>
                <w:color w:val="000000"/>
                <w:szCs w:val="21"/>
              </w:rPr>
              <w:t>益指标</w:t>
            </w:r>
          </w:p>
        </w:tc>
        <w:tc>
          <w:tcPr>
            <w:tcW w:w="132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left="27" w:right="27" w:firstLine="1"/>
              <w:jc w:val="left"/>
              <w:textAlignment w:val="top"/>
              <w:rPr>
                <w:rFonts w:hint="eastAsia" w:ascii="宋体" w:hAnsi="宋体" w:cs="宋体"/>
                <w:sz w:val="18"/>
                <w:szCs w:val="18"/>
              </w:rPr>
            </w:pPr>
            <w:r>
              <w:rPr>
                <w:rFonts w:ascii="宋体" w:hAnsi="宋体" w:cs="宋体"/>
                <w:sz w:val="18"/>
                <w:szCs w:val="18"/>
              </w:rPr>
              <w:t>青少年宫部门 整体支出</w:t>
            </w: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left="29" w:right="17" w:firstLine="1"/>
              <w:jc w:val="left"/>
              <w:textAlignment w:val="top"/>
              <w:rPr>
                <w:rFonts w:hint="eastAsia" w:ascii="宋体" w:hAnsi="宋体" w:cs="宋体"/>
                <w:sz w:val="18"/>
                <w:szCs w:val="18"/>
              </w:rPr>
            </w:pPr>
            <w:r>
              <w:rPr>
                <w:rFonts w:ascii="宋体" w:hAnsi="宋体" w:cs="宋体"/>
                <w:position w:val="1"/>
                <w:sz w:val="18"/>
                <w:szCs w:val="18"/>
              </w:rPr>
              <w:t>5735.09万元</w:t>
            </w:r>
          </w:p>
        </w:tc>
        <w:tc>
          <w:tcPr>
            <w:tcW w:w="177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sz w:val="18"/>
                <w:szCs w:val="18"/>
              </w:rPr>
            </w:pPr>
            <w:r>
              <w:rPr>
                <w:rFonts w:hint="eastAsia" w:ascii="宋体" w:hAnsi="宋体" w:cs="宋体"/>
                <w:color w:val="000000"/>
                <w:sz w:val="18"/>
                <w:szCs w:val="18"/>
              </w:rPr>
              <w:t>5351.47万元</w:t>
            </w: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rPr>
            </w:pPr>
            <w:r>
              <w:rPr>
                <w:rFonts w:hint="eastAsia" w:ascii="宋体" w:hAnsi="宋体" w:cs="宋体"/>
                <w:color w:val="000000"/>
                <w:sz w:val="18"/>
                <w:szCs w:val="18"/>
              </w:rPr>
              <w:t>5</w:t>
            </w: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rPr>
            </w:pPr>
            <w:r>
              <w:rPr>
                <w:rFonts w:hint="eastAsia" w:ascii="宋体" w:hAnsi="宋体" w:cs="宋体"/>
                <w:color w:val="000000"/>
                <w:sz w:val="18"/>
                <w:szCs w:val="18"/>
              </w:rPr>
              <w:t>5</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rPr>
            </w:pPr>
          </w:p>
        </w:tc>
      </w:tr>
      <w:tr>
        <w:tblPrEx>
          <w:tblCellMar>
            <w:top w:w="0" w:type="dxa"/>
            <w:left w:w="57" w:type="dxa"/>
            <w:bottom w:w="0" w:type="dxa"/>
            <w:right w:w="57" w:type="dxa"/>
          </w:tblCellMar>
        </w:tblPrEx>
        <w:trPr>
          <w:wBefore w:w="0" w:type="auto"/>
          <w:trHeight w:val="68"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vMerge w:val="continue"/>
            <w:tcBorders>
              <w:top w:val="single" w:color="auto" w:sz="4" w:space="0"/>
              <w:left w:val="nil"/>
              <w:bottom w:val="single" w:color="auto" w:sz="4" w:space="0"/>
              <w:right w:val="single" w:color="auto" w:sz="4" w:space="0"/>
            </w:tcBorders>
            <w:noWrap w:val="0"/>
            <w:vAlign w:val="center"/>
          </w:tcPr>
          <w:p>
            <w:pPr>
              <w:pStyle w:val="6"/>
              <w:spacing w:line="240" w:lineRule="exact"/>
              <w:jc w:val="center"/>
              <w:rPr>
                <w:color w:val="000000"/>
                <w:szCs w:val="21"/>
              </w:rPr>
            </w:pPr>
          </w:p>
        </w:tc>
        <w:tc>
          <w:tcPr>
            <w:tcW w:w="60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社会效</w:t>
            </w:r>
          </w:p>
          <w:p>
            <w:pPr>
              <w:pStyle w:val="6"/>
              <w:widowControl/>
              <w:spacing w:line="240" w:lineRule="exact"/>
              <w:jc w:val="center"/>
              <w:rPr>
                <w:color w:val="000000"/>
                <w:szCs w:val="21"/>
              </w:rPr>
            </w:pPr>
            <w:r>
              <w:rPr>
                <w:color w:val="000000"/>
                <w:szCs w:val="21"/>
              </w:rPr>
              <w:t>益指标</w:t>
            </w:r>
          </w:p>
        </w:tc>
        <w:tc>
          <w:tcPr>
            <w:tcW w:w="132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left="27" w:right="27" w:firstLine="1"/>
              <w:jc w:val="left"/>
              <w:textAlignment w:val="top"/>
              <w:rPr>
                <w:rFonts w:hint="eastAsia" w:ascii="宋体" w:hAnsi="宋体" w:cs="宋体"/>
                <w:sz w:val="18"/>
                <w:szCs w:val="18"/>
              </w:rPr>
            </w:pPr>
            <w:r>
              <w:rPr>
                <w:rFonts w:ascii="宋体" w:hAnsi="宋体" w:cs="宋体"/>
                <w:sz w:val="18"/>
                <w:szCs w:val="18"/>
              </w:rPr>
              <w:t>开展在编人员 线上培训和部 分职工专业技 能培训，无重 大安全事故发 生，青少年宫 社会教育影响 力日益增大， 应急事件处理 妥善，获得表 彰</w:t>
            </w: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left="30" w:right="132"/>
              <w:jc w:val="left"/>
              <w:textAlignment w:val="top"/>
              <w:rPr>
                <w:rFonts w:hint="eastAsia" w:ascii="宋体" w:hAnsi="宋体" w:cs="宋体"/>
                <w:sz w:val="18"/>
                <w:szCs w:val="18"/>
              </w:rPr>
            </w:pPr>
            <w:r>
              <w:rPr>
                <w:rFonts w:ascii="宋体" w:hAnsi="宋体" w:cs="宋体"/>
                <w:sz w:val="18"/>
                <w:szCs w:val="18"/>
              </w:rPr>
              <w:t>通过开展全体在编人员工作培训和部分职工各种专业技能培训提升职工的专业素 养，确保青少年 宫开展的各类培 训和活动无重大安全事故，应急 事件处理妥善，获得表彰3次以上</w:t>
            </w:r>
          </w:p>
        </w:tc>
        <w:tc>
          <w:tcPr>
            <w:tcW w:w="177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sz w:val="18"/>
                <w:szCs w:val="18"/>
              </w:rPr>
            </w:pPr>
          </w:p>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sz w:val="18"/>
                <w:szCs w:val="18"/>
              </w:rPr>
            </w:pPr>
            <w:r>
              <w:rPr>
                <w:rFonts w:ascii="宋体" w:hAnsi="宋体" w:cs="宋体"/>
                <w:sz w:val="18"/>
                <w:szCs w:val="18"/>
              </w:rPr>
              <w:t>通过开展全体在编人员工作培训和部分职工各种专业技能培训提升职工的专业素养，确保青少年宫开展的各类培训和活动无重大安全事故，应急事件处理妥善，获得表彰3次以上</w:t>
            </w:r>
          </w:p>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sz w:val="18"/>
                <w:szCs w:val="18"/>
              </w:rPr>
            </w:pPr>
          </w:p>
          <w:p>
            <w:pPr>
              <w:pStyle w:val="6"/>
              <w:keepNext w:val="0"/>
              <w:keepLines w:val="0"/>
              <w:pageBreakBefore w:val="0"/>
              <w:widowControl/>
              <w:kinsoku/>
              <w:wordWrap/>
              <w:overflowPunct/>
              <w:topLinePunct w:val="0"/>
              <w:autoSpaceDE/>
              <w:autoSpaceDN/>
              <w:bidi w:val="0"/>
              <w:adjustRightInd/>
              <w:snapToGrid/>
              <w:spacing w:line="240" w:lineRule="exact"/>
              <w:ind w:left="30" w:right="40" w:hanging="1"/>
              <w:jc w:val="left"/>
              <w:textAlignment w:val="top"/>
              <w:rPr>
                <w:rFonts w:hint="eastAsia" w:ascii="宋体" w:hAnsi="宋体" w:cs="宋体"/>
                <w:sz w:val="18"/>
                <w:szCs w:val="18"/>
              </w:rPr>
            </w:pP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rPr>
            </w:pPr>
            <w:r>
              <w:rPr>
                <w:rFonts w:hint="eastAsia" w:ascii="宋体" w:hAnsi="宋体" w:cs="宋体"/>
                <w:color w:val="000000"/>
                <w:sz w:val="18"/>
                <w:szCs w:val="18"/>
              </w:rPr>
              <w:t>5</w:t>
            </w: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ascii="宋体" w:hAnsi="宋体" w:cs="宋体"/>
                <w:color w:val="000000"/>
                <w:sz w:val="18"/>
                <w:szCs w:val="18"/>
              </w:rPr>
            </w:pPr>
            <w:r>
              <w:rPr>
                <w:rFonts w:hint="eastAsia" w:ascii="宋体" w:hAnsi="宋体" w:cs="宋体"/>
                <w:color w:val="000000"/>
                <w:sz w:val="18"/>
                <w:szCs w:val="18"/>
              </w:rPr>
              <w:t>5</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rPr>
            </w:pPr>
          </w:p>
        </w:tc>
      </w:tr>
      <w:tr>
        <w:tblPrEx>
          <w:tblCellMar>
            <w:top w:w="0" w:type="dxa"/>
            <w:left w:w="57" w:type="dxa"/>
            <w:bottom w:w="0" w:type="dxa"/>
            <w:right w:w="57" w:type="dxa"/>
          </w:tblCellMar>
        </w:tblPrEx>
        <w:trPr>
          <w:wBefore w:w="0" w:type="auto"/>
          <w:trHeight w:val="68"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vMerge w:val="continue"/>
            <w:tcBorders>
              <w:top w:val="single" w:color="auto" w:sz="4" w:space="0"/>
              <w:left w:val="nil"/>
              <w:bottom w:val="single" w:color="auto" w:sz="4" w:space="0"/>
              <w:right w:val="single" w:color="auto" w:sz="4" w:space="0"/>
            </w:tcBorders>
            <w:noWrap w:val="0"/>
            <w:vAlign w:val="center"/>
          </w:tcPr>
          <w:p>
            <w:pPr>
              <w:pStyle w:val="6"/>
              <w:spacing w:line="240" w:lineRule="exact"/>
              <w:jc w:val="center"/>
              <w:rPr>
                <w:color w:val="000000"/>
                <w:szCs w:val="21"/>
              </w:rPr>
            </w:pPr>
          </w:p>
        </w:tc>
        <w:tc>
          <w:tcPr>
            <w:tcW w:w="60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环境效</w:t>
            </w:r>
          </w:p>
          <w:p>
            <w:pPr>
              <w:pStyle w:val="6"/>
              <w:widowControl/>
              <w:spacing w:line="240" w:lineRule="exact"/>
              <w:jc w:val="center"/>
              <w:rPr>
                <w:color w:val="000000"/>
                <w:szCs w:val="21"/>
              </w:rPr>
            </w:pPr>
            <w:r>
              <w:rPr>
                <w:color w:val="000000"/>
                <w:szCs w:val="21"/>
              </w:rPr>
              <w:t>益指标</w:t>
            </w:r>
          </w:p>
        </w:tc>
        <w:tc>
          <w:tcPr>
            <w:tcW w:w="132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27"/>
              <w:jc w:val="left"/>
              <w:textAlignment w:val="top"/>
              <w:rPr>
                <w:rFonts w:hint="eastAsia" w:ascii="宋体" w:hAnsi="宋体" w:cs="宋体"/>
                <w:sz w:val="18"/>
                <w:szCs w:val="18"/>
              </w:rPr>
            </w:pPr>
            <w:r>
              <w:rPr>
                <w:rFonts w:ascii="宋体" w:hAnsi="宋体" w:cs="宋体"/>
                <w:sz w:val="18"/>
                <w:szCs w:val="18"/>
              </w:rPr>
              <w:t>生态、节能、 环保管理工作</w:t>
            </w: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132"/>
              <w:jc w:val="left"/>
              <w:textAlignment w:val="top"/>
              <w:rPr>
                <w:rFonts w:hint="eastAsia" w:ascii="宋体" w:hAnsi="宋体" w:cs="宋体"/>
                <w:sz w:val="18"/>
                <w:szCs w:val="18"/>
              </w:rPr>
            </w:pPr>
            <w:r>
              <w:rPr>
                <w:rFonts w:ascii="宋体" w:hAnsi="宋体" w:cs="宋体"/>
                <w:sz w:val="18"/>
                <w:szCs w:val="18"/>
              </w:rPr>
              <w:t>做好生态、节  能、环保管理工 作，不浪费水电 气</w:t>
            </w:r>
          </w:p>
        </w:tc>
        <w:tc>
          <w:tcPr>
            <w:tcW w:w="177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left="32"/>
              <w:jc w:val="left"/>
              <w:textAlignment w:val="top"/>
              <w:rPr>
                <w:rFonts w:hint="eastAsia" w:ascii="宋体" w:hAnsi="宋体" w:cs="宋体"/>
                <w:sz w:val="18"/>
                <w:szCs w:val="18"/>
              </w:rPr>
            </w:pPr>
            <w:r>
              <w:rPr>
                <w:rFonts w:ascii="宋体" w:hAnsi="宋体" w:cs="宋体"/>
                <w:sz w:val="18"/>
                <w:szCs w:val="18"/>
              </w:rPr>
              <w:t>做好生态、节能、环保管理工作，不浪费水电 气</w:t>
            </w: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rPr>
            </w:pPr>
            <w:r>
              <w:rPr>
                <w:rFonts w:hint="eastAsia" w:ascii="宋体" w:hAnsi="宋体" w:cs="宋体"/>
                <w:color w:val="000000"/>
                <w:sz w:val="18"/>
                <w:szCs w:val="18"/>
              </w:rPr>
              <w:t>5</w:t>
            </w: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rPr>
            </w:pPr>
            <w:r>
              <w:rPr>
                <w:rFonts w:hint="eastAsia" w:ascii="宋体" w:hAnsi="宋体" w:cs="宋体"/>
                <w:color w:val="000000"/>
                <w:sz w:val="18"/>
                <w:szCs w:val="18"/>
              </w:rPr>
              <w:t>5</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rPr>
            </w:pPr>
          </w:p>
        </w:tc>
      </w:tr>
      <w:tr>
        <w:tblPrEx>
          <w:tblCellMar>
            <w:top w:w="0" w:type="dxa"/>
            <w:left w:w="57" w:type="dxa"/>
            <w:bottom w:w="0" w:type="dxa"/>
            <w:right w:w="57" w:type="dxa"/>
          </w:tblCellMar>
        </w:tblPrEx>
        <w:trPr>
          <w:wBefore w:w="0" w:type="auto"/>
          <w:trHeight w:val="68" w:hRule="atLeast"/>
          <w:jc w:val="center"/>
        </w:trPr>
        <w:tc>
          <w:tcPr>
            <w:tcW w:w="910" w:type="dxa"/>
            <w:vMerge w:val="continue"/>
            <w:tcBorders>
              <w:left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360" w:type="dxa"/>
            <w:vMerge w:val="continue"/>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可持续影响指标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ind w:left="27" w:right="27" w:firstLine="1"/>
              <w:jc w:val="left"/>
              <w:textAlignment w:val="top"/>
              <w:rPr>
                <w:rFonts w:hint="eastAsia" w:ascii="宋体" w:hAnsi="宋体" w:cs="宋体"/>
                <w:sz w:val="18"/>
                <w:szCs w:val="18"/>
              </w:rPr>
            </w:pPr>
            <w:r>
              <w:rPr>
                <w:rFonts w:ascii="宋体" w:hAnsi="宋体" w:cs="宋体"/>
                <w:sz w:val="18"/>
                <w:szCs w:val="18"/>
              </w:rPr>
              <w:t>履行青少年宫 部门职责，服 务青少年成  长、推动社会 教育事业发展</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rPr>
            </w:pPr>
            <w:r>
              <w:rPr>
                <w:rFonts w:ascii="宋体" w:hAnsi="宋体" w:cs="宋体"/>
                <w:sz w:val="18"/>
                <w:szCs w:val="18"/>
              </w:rPr>
              <w:t>做好服务青少年 成长、推动社会 教育事业发展</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rPr>
            </w:pPr>
            <w:r>
              <w:rPr>
                <w:rFonts w:ascii="宋体" w:hAnsi="宋体" w:cs="宋体"/>
                <w:sz w:val="18"/>
                <w:szCs w:val="18"/>
              </w:rPr>
              <w:t>做好</w:t>
            </w:r>
            <w:r>
              <w:rPr>
                <w:rFonts w:hint="eastAsia" w:ascii="宋体" w:hAnsi="宋体" w:cs="宋体"/>
                <w:sz w:val="18"/>
                <w:szCs w:val="18"/>
              </w:rPr>
              <w:t>了</w:t>
            </w:r>
            <w:r>
              <w:rPr>
                <w:rFonts w:ascii="宋体" w:hAnsi="宋体" w:cs="宋体"/>
                <w:sz w:val="18"/>
                <w:szCs w:val="18"/>
              </w:rPr>
              <w:t>服务青少年 成长、推动社会教育事业发展</w:t>
            </w:r>
          </w:p>
        </w:tc>
        <w:tc>
          <w:tcPr>
            <w:tcW w:w="54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rPr>
            </w:pPr>
            <w:r>
              <w:rPr>
                <w:rFonts w:hint="eastAsia" w:ascii="宋体" w:hAnsi="宋体" w:cs="宋体"/>
                <w:color w:val="000000"/>
                <w:sz w:val="18"/>
                <w:szCs w:val="18"/>
              </w:rPr>
              <w:t>5</w:t>
            </w:r>
          </w:p>
        </w:tc>
        <w:tc>
          <w:tcPr>
            <w:tcW w:w="58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hint="eastAsia" w:ascii="宋体" w:hAnsi="宋体" w:cs="宋体"/>
                <w:color w:val="000000"/>
                <w:sz w:val="18"/>
                <w:szCs w:val="18"/>
              </w:rPr>
            </w:pPr>
            <w:r>
              <w:rPr>
                <w:rFonts w:hint="eastAsia" w:ascii="宋体" w:hAnsi="宋体" w:cs="宋体"/>
                <w:color w:val="000000"/>
                <w:sz w:val="18"/>
                <w:szCs w:val="18"/>
              </w:rPr>
              <w:t>5</w:t>
            </w:r>
          </w:p>
        </w:tc>
        <w:tc>
          <w:tcPr>
            <w:tcW w:w="902"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rPr>
            </w:pPr>
          </w:p>
        </w:tc>
      </w:tr>
      <w:tr>
        <w:tblPrEx>
          <w:tblCellMar>
            <w:top w:w="0" w:type="dxa"/>
            <w:left w:w="57" w:type="dxa"/>
            <w:bottom w:w="0" w:type="dxa"/>
            <w:right w:w="57" w:type="dxa"/>
          </w:tblCellMar>
        </w:tblPrEx>
        <w:trPr>
          <w:wBefore w:w="0" w:type="auto"/>
          <w:trHeight w:val="1101" w:hRule="atLeast"/>
          <w:jc w:val="center"/>
        </w:trPr>
        <w:tc>
          <w:tcPr>
            <w:tcW w:w="910"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6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满意度指标</w:t>
            </w:r>
          </w:p>
        </w:tc>
        <w:tc>
          <w:tcPr>
            <w:tcW w:w="60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服务对象</w:t>
            </w:r>
          </w:p>
          <w:p>
            <w:pPr>
              <w:pStyle w:val="6"/>
              <w:widowControl/>
              <w:spacing w:line="240" w:lineRule="exact"/>
              <w:jc w:val="center"/>
              <w:rPr>
                <w:color w:val="000000"/>
                <w:szCs w:val="21"/>
              </w:rPr>
            </w:pPr>
            <w:r>
              <w:rPr>
                <w:color w:val="000000"/>
                <w:szCs w:val="21"/>
              </w:rPr>
              <w:t>满意度指标</w:t>
            </w:r>
          </w:p>
        </w:tc>
        <w:tc>
          <w:tcPr>
            <w:tcW w:w="132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right="27"/>
              <w:jc w:val="left"/>
              <w:textAlignment w:val="top"/>
              <w:rPr>
                <w:rFonts w:hint="eastAsia" w:ascii="宋体" w:hAnsi="宋体" w:cs="宋体"/>
                <w:sz w:val="18"/>
                <w:szCs w:val="18"/>
              </w:rPr>
            </w:pPr>
            <w:r>
              <w:rPr>
                <w:rFonts w:ascii="宋体" w:hAnsi="宋体" w:cs="宋体"/>
                <w:sz w:val="18"/>
                <w:szCs w:val="18"/>
              </w:rPr>
              <w:t>参加培训和活 动的学员、家 长满意</w:t>
            </w:r>
          </w:p>
        </w:tc>
        <w:tc>
          <w:tcPr>
            <w:tcW w:w="180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ind w:left="29" w:right="32"/>
              <w:jc w:val="left"/>
              <w:textAlignment w:val="top"/>
              <w:rPr>
                <w:rFonts w:hint="eastAsia" w:ascii="宋体" w:hAnsi="宋体" w:cs="宋体"/>
                <w:sz w:val="18"/>
                <w:szCs w:val="18"/>
              </w:rPr>
            </w:pPr>
            <w:r>
              <w:rPr>
                <w:rFonts w:ascii="宋体" w:hAnsi="宋体" w:cs="宋体"/>
                <w:sz w:val="18"/>
                <w:szCs w:val="18"/>
              </w:rPr>
              <w:t>参加培训和活动 的学员家长满意 度度达95%</w:t>
            </w:r>
          </w:p>
        </w:tc>
        <w:tc>
          <w:tcPr>
            <w:tcW w:w="1770" w:type="dxa"/>
            <w:tcBorders>
              <w:top w:val="nil"/>
              <w:left w:val="nil"/>
              <w:bottom w:val="single" w:color="auto" w:sz="4" w:space="0"/>
              <w:right w:val="single" w:color="auto" w:sz="4" w:space="0"/>
            </w:tcBorders>
            <w:noWrap w:val="0"/>
            <w:vAlign w:val="top"/>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sz w:val="18"/>
                <w:szCs w:val="18"/>
              </w:rPr>
            </w:pPr>
            <w:r>
              <w:rPr>
                <w:rFonts w:ascii="宋体" w:hAnsi="宋体" w:cs="宋体"/>
                <w:sz w:val="18"/>
                <w:szCs w:val="18"/>
              </w:rPr>
              <w:t>参加培训和活动的学员家长满意度</w:t>
            </w:r>
            <w:r>
              <w:rPr>
                <w:rFonts w:hint="eastAsia" w:ascii="宋体" w:hAnsi="宋体" w:cs="宋体"/>
                <w:sz w:val="18"/>
                <w:szCs w:val="18"/>
              </w:rPr>
              <w:t>达</w:t>
            </w:r>
            <w:r>
              <w:rPr>
                <w:rFonts w:ascii="宋体" w:hAnsi="宋体" w:cs="宋体"/>
                <w:sz w:val="18"/>
                <w:szCs w:val="18"/>
              </w:rPr>
              <w:t>95%</w:t>
            </w:r>
          </w:p>
          <w:p>
            <w:pPr>
              <w:pStyle w:val="6"/>
              <w:keepNext w:val="0"/>
              <w:keepLines w:val="0"/>
              <w:pageBreakBefore w:val="0"/>
              <w:widowControl/>
              <w:kinsoku/>
              <w:wordWrap/>
              <w:overflowPunct/>
              <w:topLinePunct w:val="0"/>
              <w:autoSpaceDE/>
              <w:autoSpaceDN/>
              <w:bidi w:val="0"/>
              <w:adjustRightInd/>
              <w:snapToGrid/>
              <w:spacing w:line="240" w:lineRule="exact"/>
              <w:ind w:left="30"/>
              <w:jc w:val="left"/>
              <w:textAlignment w:val="top"/>
              <w:rPr>
                <w:rFonts w:hint="eastAsia" w:ascii="宋体" w:hAnsi="宋体" w:cs="宋体"/>
                <w:sz w:val="18"/>
                <w:szCs w:val="18"/>
              </w:rPr>
            </w:pPr>
          </w:p>
        </w:tc>
        <w:tc>
          <w:tcPr>
            <w:tcW w:w="54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ascii="宋体" w:hAnsi="宋体" w:cs="宋体"/>
                <w:color w:val="000000"/>
                <w:sz w:val="18"/>
                <w:szCs w:val="18"/>
              </w:rPr>
            </w:pPr>
            <w:r>
              <w:rPr>
                <w:rFonts w:hint="eastAsia" w:ascii="宋体" w:hAnsi="宋体" w:cs="宋体"/>
                <w:color w:val="000000"/>
                <w:sz w:val="18"/>
                <w:szCs w:val="18"/>
              </w:rPr>
              <w:t>10</w:t>
            </w:r>
          </w:p>
        </w:tc>
        <w:tc>
          <w:tcPr>
            <w:tcW w:w="586"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center"/>
              <w:textAlignment w:val="top"/>
              <w:rPr>
                <w:rFonts w:ascii="宋体" w:hAnsi="宋体" w:cs="宋体"/>
                <w:color w:val="000000"/>
                <w:sz w:val="18"/>
                <w:szCs w:val="18"/>
              </w:rPr>
            </w:pPr>
            <w:r>
              <w:rPr>
                <w:rFonts w:hint="eastAsia" w:ascii="宋体" w:hAnsi="宋体" w:cs="宋体"/>
                <w:color w:val="000000"/>
                <w:sz w:val="18"/>
                <w:szCs w:val="18"/>
              </w:rPr>
              <w:t>10</w:t>
            </w:r>
          </w:p>
        </w:tc>
        <w:tc>
          <w:tcPr>
            <w:tcW w:w="902" w:type="dxa"/>
            <w:tcBorders>
              <w:top w:val="nil"/>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line="240" w:lineRule="exact"/>
              <w:jc w:val="left"/>
              <w:textAlignment w:val="top"/>
              <w:rPr>
                <w:rFonts w:hint="eastAsia" w:ascii="宋体" w:hAnsi="宋体" w:cs="宋体"/>
                <w:color w:val="000000"/>
                <w:sz w:val="18"/>
                <w:szCs w:val="18"/>
              </w:rPr>
            </w:pPr>
          </w:p>
        </w:tc>
      </w:tr>
      <w:tr>
        <w:tblPrEx>
          <w:tblCellMar>
            <w:top w:w="0" w:type="dxa"/>
            <w:left w:w="57" w:type="dxa"/>
            <w:bottom w:w="0" w:type="dxa"/>
            <w:right w:w="57" w:type="dxa"/>
          </w:tblCellMar>
        </w:tblPrEx>
        <w:trPr>
          <w:wBefore w:w="0" w:type="auto"/>
          <w:trHeight w:val="270" w:hRule="atLeast"/>
          <w:jc w:val="center"/>
        </w:trPr>
        <w:tc>
          <w:tcPr>
            <w:tcW w:w="6760" w:type="dxa"/>
            <w:gridSpan w:val="6"/>
            <w:tcBorders>
              <w:top w:val="single" w:color="auto" w:sz="4" w:space="0"/>
              <w:left w:val="single" w:color="auto" w:sz="4" w:space="0"/>
              <w:bottom w:val="single" w:color="auto" w:sz="4" w:space="0"/>
              <w:right w:val="single" w:color="000000" w:sz="4" w:space="0"/>
            </w:tcBorders>
            <w:noWrap w:val="0"/>
            <w:vAlign w:val="center"/>
          </w:tcPr>
          <w:p>
            <w:pPr>
              <w:pStyle w:val="6"/>
              <w:widowControl/>
              <w:spacing w:line="240" w:lineRule="exact"/>
              <w:jc w:val="left"/>
              <w:rPr>
                <w:rFonts w:hint="eastAsia" w:ascii="宋体" w:hAnsi="宋体" w:cs="宋体"/>
                <w:color w:val="000000"/>
                <w:sz w:val="18"/>
                <w:szCs w:val="18"/>
              </w:rPr>
            </w:pPr>
            <w:r>
              <w:rPr>
                <w:rFonts w:hint="eastAsia" w:ascii="宋体" w:hAnsi="宋体" w:cs="宋体"/>
                <w:color w:val="000000"/>
                <w:sz w:val="18"/>
                <w:szCs w:val="18"/>
              </w:rPr>
              <w:t>总 分</w:t>
            </w:r>
          </w:p>
        </w:tc>
        <w:tc>
          <w:tcPr>
            <w:tcW w:w="546" w:type="dxa"/>
            <w:tcBorders>
              <w:top w:val="nil"/>
              <w:left w:val="nil"/>
              <w:bottom w:val="single" w:color="auto" w:sz="4" w:space="0"/>
              <w:right w:val="single" w:color="auto" w:sz="4" w:space="0"/>
            </w:tcBorders>
            <w:noWrap w:val="0"/>
            <w:vAlign w:val="center"/>
          </w:tcPr>
          <w:p>
            <w:pPr>
              <w:pStyle w:val="6"/>
              <w:widowControl/>
              <w:spacing w:line="240" w:lineRule="exact"/>
              <w:jc w:val="center"/>
              <w:rPr>
                <w:rFonts w:hint="eastAsia" w:ascii="宋体" w:hAnsi="宋体" w:cs="宋体"/>
                <w:color w:val="000000"/>
                <w:sz w:val="18"/>
                <w:szCs w:val="18"/>
              </w:rPr>
            </w:pPr>
            <w:r>
              <w:rPr>
                <w:rFonts w:hint="eastAsia" w:ascii="宋体" w:hAnsi="宋体" w:cs="宋体"/>
                <w:color w:val="000000"/>
                <w:sz w:val="18"/>
                <w:szCs w:val="18"/>
              </w:rPr>
              <w:t>100</w:t>
            </w:r>
          </w:p>
        </w:tc>
        <w:tc>
          <w:tcPr>
            <w:tcW w:w="586" w:type="dxa"/>
            <w:tcBorders>
              <w:top w:val="nil"/>
              <w:left w:val="nil"/>
              <w:bottom w:val="single" w:color="auto" w:sz="4" w:space="0"/>
              <w:right w:val="single" w:color="auto" w:sz="4" w:space="0"/>
            </w:tcBorders>
            <w:noWrap w:val="0"/>
            <w:vAlign w:val="center"/>
          </w:tcPr>
          <w:p>
            <w:pPr>
              <w:pStyle w:val="6"/>
              <w:widowControl/>
              <w:spacing w:line="240" w:lineRule="exact"/>
              <w:jc w:val="center"/>
              <w:rPr>
                <w:rFonts w:ascii="宋体" w:hAnsi="宋体" w:cs="宋体"/>
                <w:color w:val="000000"/>
                <w:sz w:val="18"/>
                <w:szCs w:val="18"/>
              </w:rPr>
            </w:pPr>
            <w:r>
              <w:rPr>
                <w:rFonts w:hint="eastAsia" w:ascii="宋体" w:hAnsi="宋体" w:cs="宋体"/>
                <w:color w:val="000000"/>
                <w:sz w:val="18"/>
                <w:szCs w:val="18"/>
              </w:rPr>
              <w:t>96.65</w:t>
            </w:r>
          </w:p>
        </w:tc>
        <w:tc>
          <w:tcPr>
            <w:tcW w:w="902" w:type="dxa"/>
            <w:tcBorders>
              <w:top w:val="nil"/>
              <w:left w:val="nil"/>
              <w:bottom w:val="single" w:color="auto" w:sz="4" w:space="0"/>
              <w:right w:val="single" w:color="auto" w:sz="4" w:space="0"/>
            </w:tcBorders>
            <w:noWrap w:val="0"/>
            <w:vAlign w:val="center"/>
          </w:tcPr>
          <w:p>
            <w:pPr>
              <w:pStyle w:val="6"/>
              <w:widowControl/>
              <w:spacing w:line="240" w:lineRule="exact"/>
              <w:jc w:val="left"/>
              <w:rPr>
                <w:rFonts w:hint="eastAsia" w:ascii="宋体" w:hAnsi="宋体" w:cs="宋体"/>
                <w:color w:val="000000"/>
                <w:sz w:val="18"/>
                <w:szCs w:val="18"/>
              </w:rPr>
            </w:pPr>
          </w:p>
        </w:tc>
      </w:tr>
    </w:tbl>
    <w:p>
      <w:pPr>
        <w:pStyle w:val="6"/>
        <w:widowControl/>
        <w:spacing w:line="400" w:lineRule="exact"/>
        <w:jc w:val="left"/>
        <w:rPr>
          <w:rFonts w:eastAsia="黑体"/>
          <w:sz w:val="32"/>
          <w:szCs w:val="32"/>
        </w:rPr>
      </w:pPr>
      <w:r>
        <w:rPr>
          <w:rFonts w:eastAsia="黑体"/>
          <w:sz w:val="32"/>
          <w:szCs w:val="32"/>
        </w:rPr>
        <w:t>附件3</w:t>
      </w:r>
    </w:p>
    <w:p>
      <w:pPr>
        <w:pStyle w:val="6"/>
        <w:spacing w:before="156" w:beforeLines="50" w:after="156" w:afterLines="50" w:line="600" w:lineRule="exact"/>
        <w:jc w:val="center"/>
        <w:rPr>
          <w:rFonts w:hint="eastAsia" w:ascii="黑体" w:hAnsi="黑体" w:eastAsia="黑体" w:cs="黑体"/>
          <w:sz w:val="44"/>
          <w:szCs w:val="44"/>
        </w:rPr>
      </w:pPr>
      <w:r>
        <w:rPr>
          <w:rFonts w:hint="eastAsia" w:ascii="黑体" w:hAnsi="黑体" w:eastAsia="黑体" w:cs="黑体"/>
          <w:sz w:val="44"/>
          <w:szCs w:val="44"/>
        </w:rPr>
        <w:t>2023年度项目支出绩效自评表</w:t>
      </w:r>
    </w:p>
    <w:tbl>
      <w:tblPr>
        <w:tblStyle w:val="16"/>
        <w:tblW w:w="8900" w:type="dxa"/>
        <w:jc w:val="center"/>
        <w:tblLayout w:type="fixed"/>
        <w:tblCellMar>
          <w:top w:w="0" w:type="dxa"/>
          <w:left w:w="57" w:type="dxa"/>
          <w:bottom w:w="0" w:type="dxa"/>
          <w:right w:w="57" w:type="dxa"/>
        </w:tblCellMar>
      </w:tblPr>
      <w:tblGrid>
        <w:gridCol w:w="1467"/>
        <w:gridCol w:w="750"/>
        <w:gridCol w:w="1320"/>
        <w:gridCol w:w="818"/>
        <w:gridCol w:w="990"/>
        <w:gridCol w:w="1005"/>
        <w:gridCol w:w="630"/>
        <w:gridCol w:w="765"/>
        <w:gridCol w:w="1155"/>
      </w:tblGrid>
      <w:tr>
        <w:tblPrEx>
          <w:tblCellMar>
            <w:top w:w="0" w:type="dxa"/>
            <w:left w:w="57" w:type="dxa"/>
            <w:bottom w:w="0" w:type="dxa"/>
            <w:right w:w="57" w:type="dxa"/>
          </w:tblCellMar>
        </w:tblPrEx>
        <w:trPr>
          <w:trHeight w:val="38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项目支出名称</w:t>
            </w:r>
          </w:p>
        </w:tc>
        <w:tc>
          <w:tcPr>
            <w:tcW w:w="7433" w:type="dxa"/>
            <w:gridSpan w:val="8"/>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办班教学和场馆运营项目</w:t>
            </w:r>
          </w:p>
        </w:tc>
      </w:tr>
      <w:tr>
        <w:trPr>
          <w:trHeight w:val="305" w:hRule="atLeast"/>
          <w:jc w:val="center"/>
        </w:trPr>
        <w:tc>
          <w:tcPr>
            <w:tcW w:w="1467" w:type="dxa"/>
            <w:tcBorders>
              <w:top w:val="nil"/>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主管部门</w:t>
            </w:r>
          </w:p>
        </w:tc>
        <w:tc>
          <w:tcPr>
            <w:tcW w:w="3878"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共青团长沙市委</w:t>
            </w:r>
          </w:p>
        </w:tc>
        <w:tc>
          <w:tcPr>
            <w:tcW w:w="1005" w:type="dxa"/>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实施单位</w:t>
            </w:r>
          </w:p>
        </w:tc>
        <w:tc>
          <w:tcPr>
            <w:tcW w:w="2550" w:type="dxa"/>
            <w:gridSpan w:val="3"/>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长沙市青少年宫</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项目资金</w:t>
            </w:r>
          </w:p>
          <w:p>
            <w:pPr>
              <w:pStyle w:val="6"/>
              <w:widowControl/>
              <w:spacing w:line="240" w:lineRule="exact"/>
              <w:jc w:val="center"/>
              <w:rPr>
                <w:color w:val="000000"/>
                <w:szCs w:val="21"/>
              </w:rPr>
            </w:pPr>
            <w:r>
              <w:rPr>
                <w:color w:val="000000"/>
                <w:szCs w:val="21"/>
              </w:rPr>
              <w:t>（万元）</w:t>
            </w: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18"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年初</w:t>
            </w:r>
          </w:p>
          <w:p>
            <w:pPr>
              <w:pStyle w:val="6"/>
              <w:widowControl/>
              <w:spacing w:line="240" w:lineRule="exact"/>
              <w:jc w:val="center"/>
              <w:rPr>
                <w:color w:val="000000"/>
                <w:szCs w:val="21"/>
              </w:rPr>
            </w:pPr>
            <w:r>
              <w:rPr>
                <w:color w:val="000000"/>
                <w:szCs w:val="21"/>
              </w:rPr>
              <w:t>预算数</w:t>
            </w:r>
          </w:p>
        </w:tc>
        <w:tc>
          <w:tcPr>
            <w:tcW w:w="99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全年</w:t>
            </w:r>
          </w:p>
          <w:p>
            <w:pPr>
              <w:pStyle w:val="6"/>
              <w:widowControl/>
              <w:spacing w:line="240" w:lineRule="exact"/>
              <w:jc w:val="center"/>
              <w:rPr>
                <w:color w:val="000000"/>
                <w:szCs w:val="21"/>
              </w:rPr>
            </w:pPr>
            <w:r>
              <w:rPr>
                <w:color w:val="000000"/>
                <w:szCs w:val="21"/>
              </w:rPr>
              <w:t>预算数</w:t>
            </w:r>
          </w:p>
        </w:tc>
        <w:tc>
          <w:tcPr>
            <w:tcW w:w="1005"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全年</w:t>
            </w:r>
          </w:p>
          <w:p>
            <w:pPr>
              <w:pStyle w:val="6"/>
              <w:spacing w:line="240" w:lineRule="exact"/>
              <w:jc w:val="center"/>
              <w:rPr>
                <w:szCs w:val="21"/>
              </w:rPr>
            </w:pPr>
            <w:r>
              <w:rPr>
                <w:szCs w:val="21"/>
              </w:rPr>
              <w:t>执行数</w:t>
            </w:r>
          </w:p>
        </w:tc>
        <w:tc>
          <w:tcPr>
            <w:tcW w:w="63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分值</w:t>
            </w:r>
          </w:p>
        </w:tc>
        <w:tc>
          <w:tcPr>
            <w:tcW w:w="765"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执行率</w:t>
            </w:r>
          </w:p>
        </w:tc>
        <w:tc>
          <w:tcPr>
            <w:tcW w:w="1155"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得分</w:t>
            </w:r>
          </w:p>
        </w:tc>
      </w:tr>
      <w:tr>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年度资金总额</w:t>
            </w:r>
          </w:p>
        </w:tc>
        <w:tc>
          <w:tcPr>
            <w:tcW w:w="818"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3568.09</w:t>
            </w:r>
          </w:p>
        </w:tc>
        <w:tc>
          <w:tcPr>
            <w:tcW w:w="99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3568.09</w:t>
            </w:r>
          </w:p>
        </w:tc>
        <w:tc>
          <w:tcPr>
            <w:tcW w:w="100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2958.23</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10</w:t>
            </w: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82.91%</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8.29</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其中：当年财政拨款</w:t>
            </w:r>
          </w:p>
        </w:tc>
        <w:tc>
          <w:tcPr>
            <w:tcW w:w="818"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3568.09</w:t>
            </w:r>
          </w:p>
        </w:tc>
        <w:tc>
          <w:tcPr>
            <w:tcW w:w="99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3568.09</w:t>
            </w:r>
          </w:p>
        </w:tc>
        <w:tc>
          <w:tcPr>
            <w:tcW w:w="100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2958.23</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jc w:val="center"/>
              <w:rPr>
                <w:color w:val="000000"/>
                <w:szCs w:val="21"/>
              </w:rPr>
            </w:pPr>
            <w:r>
              <w:rPr>
                <w:color w:val="000000"/>
                <w:szCs w:val="21"/>
              </w:rPr>
              <w:t>上年结转资金</w:t>
            </w:r>
          </w:p>
        </w:tc>
        <w:tc>
          <w:tcPr>
            <w:tcW w:w="818"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99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00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jc w:val="center"/>
              <w:rPr>
                <w:color w:val="000000"/>
                <w:szCs w:val="21"/>
              </w:rPr>
            </w:pPr>
            <w:r>
              <w:rPr>
                <w:color w:val="000000"/>
                <w:szCs w:val="21"/>
              </w:rPr>
              <w:t>其他资金</w:t>
            </w:r>
          </w:p>
        </w:tc>
        <w:tc>
          <w:tcPr>
            <w:tcW w:w="818"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99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00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年度总体目标</w:t>
            </w:r>
          </w:p>
        </w:tc>
        <w:tc>
          <w:tcPr>
            <w:tcW w:w="3878" w:type="dxa"/>
            <w:gridSpan w:val="4"/>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年度目标</w:t>
            </w:r>
          </w:p>
        </w:tc>
        <w:tc>
          <w:tcPr>
            <w:tcW w:w="3555"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实际完成情况</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3878" w:type="dxa"/>
            <w:gridSpan w:val="4"/>
            <w:tcBorders>
              <w:top w:val="single" w:color="auto" w:sz="4" w:space="0"/>
              <w:left w:val="nil"/>
              <w:bottom w:val="single" w:color="auto" w:sz="4" w:space="0"/>
              <w:right w:val="single" w:color="000000" w:sz="4" w:space="0"/>
            </w:tcBorders>
            <w:noWrap w:val="0"/>
            <w:vAlign w:val="center"/>
          </w:tcPr>
          <w:p>
            <w:pPr>
              <w:pStyle w:val="6"/>
              <w:spacing w:before="49"/>
              <w:ind w:left="36"/>
              <w:jc w:val="center"/>
              <w:rPr>
                <w:color w:val="000000"/>
                <w:sz w:val="18"/>
                <w:szCs w:val="18"/>
              </w:rPr>
            </w:pPr>
            <w:r>
              <w:rPr>
                <w:rFonts w:ascii="宋体" w:hAnsi="宋体" w:cs="宋体"/>
                <w:sz w:val="18"/>
                <w:szCs w:val="18"/>
              </w:rPr>
              <w:t>1.推动深化改革，强化公益属性，申请调整分类，促进“双减”落实 落地；2.立足青少年社会教育阵地 职能，落实立德树人根本任务，发 挥教育服务功能，突出校外特点， 着力实现“一体两翼三精”； 3.保 障办班教学的业务支出、辅导费用、设备购置等工艺活动费用支出 和场馆征程运行。</w:t>
            </w:r>
          </w:p>
        </w:tc>
        <w:tc>
          <w:tcPr>
            <w:tcW w:w="3555" w:type="dxa"/>
            <w:gridSpan w:val="4"/>
            <w:tcBorders>
              <w:top w:val="single" w:color="auto" w:sz="4" w:space="0"/>
              <w:left w:val="nil"/>
              <w:bottom w:val="single" w:color="auto" w:sz="4" w:space="0"/>
              <w:right w:val="single" w:color="auto" w:sz="4" w:space="0"/>
            </w:tcBorders>
            <w:noWrap w:val="0"/>
            <w:vAlign w:val="center"/>
          </w:tcPr>
          <w:p>
            <w:pPr>
              <w:pStyle w:val="6"/>
              <w:spacing w:before="49"/>
              <w:jc w:val="center"/>
              <w:rPr>
                <w:color w:val="000000"/>
                <w:sz w:val="18"/>
                <w:szCs w:val="18"/>
              </w:rPr>
            </w:pPr>
            <w:r>
              <w:rPr>
                <w:rFonts w:ascii="宋体" w:hAnsi="宋体" w:cs="宋体"/>
                <w:sz w:val="18"/>
                <w:szCs w:val="18"/>
              </w:rPr>
              <w:t>深化改革，强化</w:t>
            </w:r>
            <w:r>
              <w:rPr>
                <w:rFonts w:hint="eastAsia" w:ascii="宋体" w:hAnsi="宋体" w:cs="宋体"/>
                <w:sz w:val="18"/>
                <w:szCs w:val="18"/>
              </w:rPr>
              <w:t>了青少年宫的</w:t>
            </w:r>
            <w:r>
              <w:rPr>
                <w:rFonts w:ascii="宋体" w:hAnsi="宋体" w:cs="宋体"/>
                <w:sz w:val="18"/>
                <w:szCs w:val="18"/>
              </w:rPr>
              <w:t>公益属性</w:t>
            </w:r>
            <w:r>
              <w:rPr>
                <w:rFonts w:hint="eastAsia" w:ascii="宋体" w:hAnsi="宋体" w:cs="宋体"/>
                <w:sz w:val="18"/>
                <w:szCs w:val="18"/>
              </w:rPr>
              <w:t>，</w:t>
            </w:r>
            <w:r>
              <w:rPr>
                <w:rFonts w:ascii="宋体" w:hAnsi="宋体" w:cs="宋体"/>
                <w:sz w:val="18"/>
                <w:szCs w:val="18"/>
              </w:rPr>
              <w:t>促进</w:t>
            </w:r>
            <w:r>
              <w:rPr>
                <w:rFonts w:hint="eastAsia" w:ascii="宋体" w:hAnsi="宋体" w:cs="宋体"/>
                <w:sz w:val="18"/>
                <w:szCs w:val="18"/>
              </w:rPr>
              <w:t>了</w:t>
            </w:r>
            <w:r>
              <w:rPr>
                <w:rFonts w:ascii="宋体" w:hAnsi="宋体" w:cs="宋体"/>
                <w:sz w:val="18"/>
                <w:szCs w:val="18"/>
              </w:rPr>
              <w:t>“双减”</w:t>
            </w:r>
            <w:r>
              <w:rPr>
                <w:rFonts w:hint="eastAsia" w:ascii="宋体" w:hAnsi="宋体" w:cs="宋体"/>
                <w:sz w:val="18"/>
                <w:szCs w:val="18"/>
              </w:rPr>
              <w:t>政策的</w:t>
            </w:r>
            <w:r>
              <w:rPr>
                <w:rFonts w:ascii="宋体" w:hAnsi="宋体" w:cs="宋体"/>
                <w:sz w:val="18"/>
                <w:szCs w:val="18"/>
              </w:rPr>
              <w:t>落实</w:t>
            </w:r>
            <w:r>
              <w:rPr>
                <w:rFonts w:hint="eastAsia" w:ascii="宋体" w:hAnsi="宋体" w:cs="宋体"/>
                <w:sz w:val="18"/>
                <w:szCs w:val="18"/>
              </w:rPr>
              <w:t>；立足青少年社会教育，发挥了青少年社会教育阵地职能；</w:t>
            </w:r>
            <w:r>
              <w:rPr>
                <w:rFonts w:ascii="宋体" w:hAnsi="宋体" w:cs="宋体"/>
                <w:sz w:val="18"/>
                <w:szCs w:val="18"/>
              </w:rPr>
              <w:t>保障</w:t>
            </w:r>
            <w:r>
              <w:rPr>
                <w:rFonts w:hint="eastAsia" w:ascii="宋体" w:hAnsi="宋体" w:cs="宋体"/>
                <w:sz w:val="18"/>
                <w:szCs w:val="18"/>
              </w:rPr>
              <w:t>了</w:t>
            </w:r>
            <w:r>
              <w:rPr>
                <w:rFonts w:ascii="宋体" w:hAnsi="宋体" w:cs="宋体"/>
                <w:sz w:val="18"/>
                <w:szCs w:val="18"/>
              </w:rPr>
              <w:t>办班教学的业务</w:t>
            </w:r>
            <w:r>
              <w:rPr>
                <w:rFonts w:hint="eastAsia" w:ascii="宋体" w:hAnsi="宋体" w:cs="宋体"/>
                <w:sz w:val="18"/>
                <w:szCs w:val="18"/>
              </w:rPr>
              <w:t>开展</w:t>
            </w:r>
            <w:r>
              <w:rPr>
                <w:rFonts w:ascii="宋体" w:hAnsi="宋体" w:cs="宋体"/>
                <w:sz w:val="18"/>
                <w:szCs w:val="18"/>
              </w:rPr>
              <w:t>、</w:t>
            </w:r>
            <w:r>
              <w:rPr>
                <w:rFonts w:hint="eastAsia" w:ascii="宋体" w:hAnsi="宋体" w:cs="宋体"/>
                <w:sz w:val="18"/>
                <w:szCs w:val="18"/>
              </w:rPr>
              <w:t>各项青少年</w:t>
            </w:r>
            <w:r>
              <w:rPr>
                <w:rFonts w:ascii="宋体" w:hAnsi="宋体" w:cs="宋体"/>
                <w:sz w:val="18"/>
                <w:szCs w:val="18"/>
              </w:rPr>
              <w:t>活动</w:t>
            </w:r>
            <w:r>
              <w:rPr>
                <w:rFonts w:hint="eastAsia" w:ascii="宋体" w:hAnsi="宋体" w:cs="宋体"/>
                <w:sz w:val="18"/>
                <w:szCs w:val="18"/>
              </w:rPr>
              <w:t>开展，确保了</w:t>
            </w:r>
            <w:r>
              <w:rPr>
                <w:rFonts w:ascii="宋体" w:hAnsi="宋体" w:cs="宋体"/>
                <w:sz w:val="18"/>
                <w:szCs w:val="18"/>
              </w:rPr>
              <w:t>场馆</w:t>
            </w:r>
            <w:r>
              <w:rPr>
                <w:rFonts w:hint="eastAsia" w:ascii="宋体" w:hAnsi="宋体" w:cs="宋体"/>
                <w:sz w:val="18"/>
                <w:szCs w:val="18"/>
              </w:rPr>
              <w:t>正常</w:t>
            </w:r>
            <w:r>
              <w:rPr>
                <w:rFonts w:ascii="宋体" w:hAnsi="宋体" w:cs="宋体"/>
                <w:sz w:val="18"/>
                <w:szCs w:val="18"/>
              </w:rPr>
              <w:t>运行。</w:t>
            </w:r>
          </w:p>
        </w:tc>
      </w:tr>
      <w:tr>
        <w:trPr>
          <w:trHeight w:val="23" w:hRule="atLeast"/>
          <w:jc w:val="center"/>
        </w:trPr>
        <w:tc>
          <w:tcPr>
            <w:tcW w:w="1467" w:type="dxa"/>
            <w:vMerge w:val="restart"/>
            <w:tcBorders>
              <w:top w:val="nil"/>
              <w:left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绩</w:t>
            </w:r>
          </w:p>
          <w:p>
            <w:pPr>
              <w:pStyle w:val="6"/>
              <w:widowControl/>
              <w:spacing w:line="240" w:lineRule="exact"/>
              <w:jc w:val="center"/>
              <w:rPr>
                <w:color w:val="000000"/>
                <w:szCs w:val="21"/>
              </w:rPr>
            </w:pPr>
            <w:r>
              <w:rPr>
                <w:color w:val="000000"/>
                <w:szCs w:val="21"/>
              </w:rPr>
              <w:t>效</w:t>
            </w:r>
          </w:p>
          <w:p>
            <w:pPr>
              <w:pStyle w:val="6"/>
              <w:widowControl/>
              <w:spacing w:line="240" w:lineRule="exact"/>
              <w:jc w:val="center"/>
              <w:rPr>
                <w:color w:val="000000"/>
                <w:szCs w:val="21"/>
              </w:rPr>
            </w:pPr>
            <w:r>
              <w:rPr>
                <w:color w:val="000000"/>
                <w:szCs w:val="21"/>
              </w:rPr>
              <w:t>指</w:t>
            </w:r>
          </w:p>
          <w:p>
            <w:pPr>
              <w:pStyle w:val="6"/>
              <w:widowControl/>
              <w:spacing w:line="240" w:lineRule="exact"/>
              <w:jc w:val="center"/>
              <w:rPr>
                <w:color w:val="000000"/>
                <w:szCs w:val="21"/>
              </w:rPr>
            </w:pPr>
            <w:r>
              <w:rPr>
                <w:color w:val="000000"/>
                <w:szCs w:val="21"/>
              </w:rPr>
              <w:t>标</w:t>
            </w:r>
          </w:p>
        </w:tc>
        <w:tc>
          <w:tcPr>
            <w:tcW w:w="75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一级</w:t>
            </w:r>
          </w:p>
          <w:p>
            <w:pPr>
              <w:pStyle w:val="6"/>
              <w:widowControl/>
              <w:spacing w:line="240" w:lineRule="exact"/>
              <w:jc w:val="center"/>
              <w:rPr>
                <w:color w:val="000000"/>
                <w:szCs w:val="21"/>
              </w:rPr>
            </w:pPr>
            <w:r>
              <w:rPr>
                <w:color w:val="000000"/>
                <w:szCs w:val="21"/>
              </w:rPr>
              <w:t>指标</w:t>
            </w:r>
          </w:p>
        </w:tc>
        <w:tc>
          <w:tcPr>
            <w:tcW w:w="132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二级</w:t>
            </w:r>
          </w:p>
          <w:p>
            <w:pPr>
              <w:pStyle w:val="6"/>
              <w:widowControl/>
              <w:spacing w:line="240" w:lineRule="exact"/>
              <w:jc w:val="center"/>
              <w:rPr>
                <w:color w:val="000000"/>
                <w:szCs w:val="21"/>
              </w:rPr>
            </w:pPr>
            <w:r>
              <w:rPr>
                <w:color w:val="000000"/>
                <w:szCs w:val="21"/>
              </w:rPr>
              <w:t>指标</w:t>
            </w:r>
          </w:p>
        </w:tc>
        <w:tc>
          <w:tcPr>
            <w:tcW w:w="818"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三级指标内容</w:t>
            </w:r>
          </w:p>
        </w:tc>
        <w:tc>
          <w:tcPr>
            <w:tcW w:w="99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w:t>
            </w:r>
          </w:p>
          <w:p>
            <w:pPr>
              <w:pStyle w:val="6"/>
              <w:widowControl/>
              <w:spacing w:line="240" w:lineRule="exact"/>
              <w:jc w:val="center"/>
              <w:rPr>
                <w:color w:val="000000"/>
                <w:szCs w:val="21"/>
              </w:rPr>
            </w:pPr>
            <w:r>
              <w:rPr>
                <w:color w:val="000000"/>
                <w:szCs w:val="21"/>
              </w:rPr>
              <w:t>指标值</w:t>
            </w:r>
          </w:p>
        </w:tc>
        <w:tc>
          <w:tcPr>
            <w:tcW w:w="100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w:t>
            </w:r>
          </w:p>
          <w:p>
            <w:pPr>
              <w:pStyle w:val="6"/>
              <w:widowControl/>
              <w:spacing w:line="240" w:lineRule="exact"/>
              <w:jc w:val="center"/>
              <w:rPr>
                <w:color w:val="000000"/>
                <w:szCs w:val="21"/>
              </w:rPr>
            </w:pPr>
            <w:r>
              <w:rPr>
                <w:color w:val="000000"/>
                <w:szCs w:val="21"/>
              </w:rPr>
              <w:t>完成值</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分值</w:t>
            </w: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得分</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偏差原因分析及</w:t>
            </w:r>
          </w:p>
          <w:p>
            <w:pPr>
              <w:pStyle w:val="6"/>
              <w:widowControl/>
              <w:spacing w:line="240" w:lineRule="exact"/>
              <w:jc w:val="center"/>
              <w:rPr>
                <w:color w:val="000000"/>
                <w:szCs w:val="21"/>
              </w:rPr>
            </w:pPr>
            <w:r>
              <w:rPr>
                <w:color w:val="000000"/>
                <w:szCs w:val="21"/>
              </w:rPr>
              <w:t>改进措施</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restart"/>
            <w:tcBorders>
              <w:top w:val="nil"/>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成本</w:t>
            </w:r>
          </w:p>
          <w:p>
            <w:pPr>
              <w:pStyle w:val="6"/>
              <w:widowControl/>
              <w:spacing w:line="240" w:lineRule="exact"/>
              <w:jc w:val="center"/>
              <w:rPr>
                <w:color w:val="000000"/>
                <w:szCs w:val="21"/>
              </w:rPr>
            </w:pPr>
            <w:r>
              <w:rPr>
                <w:color w:val="000000"/>
                <w:szCs w:val="21"/>
              </w:rPr>
              <w:t>指标</w:t>
            </w:r>
          </w:p>
        </w:tc>
        <w:tc>
          <w:tcPr>
            <w:tcW w:w="1320" w:type="dxa"/>
            <w:tcBorders>
              <w:top w:val="nil"/>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经济成本</w:t>
            </w:r>
          </w:p>
          <w:p>
            <w:pPr>
              <w:pStyle w:val="6"/>
              <w:widowControl/>
              <w:spacing w:line="240" w:lineRule="exact"/>
              <w:jc w:val="center"/>
              <w:rPr>
                <w:color w:val="000000"/>
                <w:szCs w:val="21"/>
              </w:rPr>
            </w:pPr>
            <w:r>
              <w:rPr>
                <w:color w:val="000000"/>
                <w:szCs w:val="21"/>
              </w:rPr>
              <w:t>指标</w:t>
            </w:r>
          </w:p>
        </w:tc>
        <w:tc>
          <w:tcPr>
            <w:tcW w:w="818" w:type="dxa"/>
            <w:tcBorders>
              <w:top w:val="nil"/>
              <w:left w:val="nil"/>
              <w:bottom w:val="single" w:color="auto" w:sz="4" w:space="0"/>
              <w:right w:val="single" w:color="auto" w:sz="4" w:space="0"/>
            </w:tcBorders>
            <w:noWrap w:val="0"/>
            <w:vAlign w:val="center"/>
          </w:tcPr>
          <w:p>
            <w:pPr>
              <w:pStyle w:val="6"/>
              <w:widowControl/>
              <w:spacing w:line="180" w:lineRule="exact"/>
              <w:jc w:val="center"/>
              <w:rPr>
                <w:rFonts w:ascii="宋体" w:hAnsi="宋体" w:cs="宋体"/>
                <w:color w:val="000000"/>
                <w:sz w:val="13"/>
                <w:szCs w:val="13"/>
              </w:rPr>
            </w:pPr>
            <w:r>
              <w:rPr>
                <w:rFonts w:hint="eastAsia" w:ascii="宋体" w:hAnsi="宋体" w:cs="宋体"/>
                <w:sz w:val="13"/>
                <w:szCs w:val="13"/>
              </w:rPr>
              <w:t>普惠教学，完善场馆管理，提高经济效益</w:t>
            </w:r>
          </w:p>
        </w:tc>
        <w:tc>
          <w:tcPr>
            <w:tcW w:w="990" w:type="dxa"/>
            <w:tcBorders>
              <w:top w:val="nil"/>
              <w:left w:val="nil"/>
              <w:bottom w:val="single" w:color="auto" w:sz="4" w:space="0"/>
              <w:right w:val="single" w:color="auto" w:sz="4" w:space="0"/>
            </w:tcBorders>
            <w:noWrap w:val="0"/>
            <w:vAlign w:val="center"/>
          </w:tcPr>
          <w:p>
            <w:pPr>
              <w:pStyle w:val="6"/>
              <w:widowControl/>
              <w:spacing w:line="180" w:lineRule="exact"/>
              <w:jc w:val="center"/>
              <w:rPr>
                <w:rFonts w:ascii="宋体" w:hAnsi="宋体" w:cs="宋体"/>
                <w:color w:val="000000"/>
                <w:sz w:val="13"/>
                <w:szCs w:val="13"/>
              </w:rPr>
            </w:pPr>
            <w:r>
              <w:rPr>
                <w:rFonts w:hint="eastAsia" w:ascii="宋体" w:hAnsi="宋体" w:cs="宋体"/>
                <w:color w:val="000000"/>
                <w:sz w:val="13"/>
                <w:szCs w:val="13"/>
              </w:rPr>
              <w:t>项目预计3568.09万元</w:t>
            </w:r>
          </w:p>
        </w:tc>
        <w:tc>
          <w:tcPr>
            <w:tcW w:w="1005" w:type="dxa"/>
            <w:tcBorders>
              <w:top w:val="nil"/>
              <w:left w:val="nil"/>
              <w:bottom w:val="single" w:color="auto" w:sz="4" w:space="0"/>
              <w:right w:val="single" w:color="auto" w:sz="4" w:space="0"/>
            </w:tcBorders>
            <w:noWrap w:val="0"/>
            <w:vAlign w:val="center"/>
          </w:tcPr>
          <w:p>
            <w:pPr>
              <w:pStyle w:val="6"/>
              <w:widowControl/>
              <w:spacing w:line="180" w:lineRule="exact"/>
              <w:jc w:val="center"/>
              <w:rPr>
                <w:rFonts w:ascii="宋体" w:hAnsi="宋体" w:cs="宋体"/>
                <w:color w:val="000000"/>
                <w:sz w:val="13"/>
                <w:szCs w:val="13"/>
              </w:rPr>
            </w:pPr>
            <w:r>
              <w:rPr>
                <w:rFonts w:hint="eastAsia" w:ascii="宋体" w:hAnsi="宋体" w:cs="宋体"/>
                <w:color w:val="000000"/>
                <w:sz w:val="13"/>
                <w:szCs w:val="13"/>
              </w:rPr>
              <w:t>项目完成2958.23万元</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r>
              <w:rPr>
                <w:rFonts w:hint="eastAsia"/>
                <w:color w:val="000000"/>
                <w:sz w:val="13"/>
                <w:szCs w:val="13"/>
              </w:rPr>
              <w:t>预算执行率低，提高预算编制合理性</w:t>
            </w:r>
          </w:p>
        </w:tc>
      </w:tr>
      <w:tr>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left w:val="nil"/>
              <w:right w:val="single" w:color="auto" w:sz="4" w:space="0"/>
            </w:tcBorders>
            <w:noWrap w:val="0"/>
            <w:vAlign w:val="center"/>
          </w:tcPr>
          <w:p>
            <w:pPr>
              <w:pStyle w:val="6"/>
              <w:widowControl/>
              <w:spacing w:line="240" w:lineRule="exact"/>
              <w:jc w:val="center"/>
              <w:rPr>
                <w:color w:val="000000"/>
                <w:szCs w:val="21"/>
              </w:rPr>
            </w:pPr>
          </w:p>
        </w:tc>
        <w:tc>
          <w:tcPr>
            <w:tcW w:w="1320" w:type="dxa"/>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社会成本</w:t>
            </w:r>
          </w:p>
          <w:p>
            <w:pPr>
              <w:pStyle w:val="6"/>
              <w:widowControl/>
              <w:spacing w:line="240" w:lineRule="exact"/>
              <w:jc w:val="center"/>
              <w:rPr>
                <w:color w:val="000000"/>
                <w:szCs w:val="21"/>
              </w:rPr>
            </w:pPr>
            <w:r>
              <w:rPr>
                <w:color w:val="000000"/>
                <w:szCs w:val="21"/>
              </w:rPr>
              <w:t>指标</w:t>
            </w:r>
          </w:p>
        </w:tc>
        <w:tc>
          <w:tcPr>
            <w:tcW w:w="818" w:type="dxa"/>
            <w:tcBorders>
              <w:top w:val="nil"/>
              <w:left w:val="nil"/>
              <w:bottom w:val="single" w:color="auto" w:sz="4" w:space="0"/>
              <w:right w:val="single" w:color="auto" w:sz="4" w:space="0"/>
            </w:tcBorders>
            <w:noWrap w:val="0"/>
            <w:vAlign w:val="center"/>
          </w:tcPr>
          <w:p>
            <w:pPr>
              <w:pStyle w:val="6"/>
              <w:widowControl/>
              <w:spacing w:before="28" w:line="180" w:lineRule="exact"/>
              <w:ind w:left="27" w:right="27" w:firstLine="1"/>
              <w:jc w:val="center"/>
              <w:rPr>
                <w:rFonts w:ascii="宋体" w:hAnsi="宋体" w:cs="宋体"/>
                <w:sz w:val="13"/>
                <w:szCs w:val="13"/>
              </w:rPr>
            </w:pPr>
            <w:r>
              <w:rPr>
                <w:rFonts w:hint="eastAsia" w:ascii="宋体" w:hAnsi="宋体" w:cs="宋体"/>
                <w:sz w:val="13"/>
                <w:szCs w:val="13"/>
              </w:rPr>
              <w:t>优化青少年社会教育</w:t>
            </w:r>
          </w:p>
        </w:tc>
        <w:tc>
          <w:tcPr>
            <w:tcW w:w="990" w:type="dxa"/>
            <w:tcBorders>
              <w:top w:val="nil"/>
              <w:left w:val="nil"/>
              <w:bottom w:val="single" w:color="auto" w:sz="4" w:space="0"/>
              <w:right w:val="single" w:color="auto" w:sz="4" w:space="0"/>
            </w:tcBorders>
            <w:noWrap w:val="0"/>
            <w:vAlign w:val="top"/>
          </w:tcPr>
          <w:p>
            <w:pPr>
              <w:pStyle w:val="6"/>
              <w:widowControl/>
              <w:spacing w:before="48" w:line="180" w:lineRule="exact"/>
              <w:ind w:right="132"/>
              <w:jc w:val="center"/>
              <w:rPr>
                <w:rFonts w:ascii="宋体" w:hAnsi="宋体" w:cs="宋体"/>
                <w:sz w:val="13"/>
                <w:szCs w:val="13"/>
              </w:rPr>
            </w:pPr>
            <w:r>
              <w:rPr>
                <w:rFonts w:hint="eastAsia" w:ascii="宋体" w:hAnsi="宋体" w:cs="宋体"/>
                <w:sz w:val="13"/>
                <w:szCs w:val="13"/>
              </w:rPr>
              <w:t>成为青少年社会教育领头羊</w:t>
            </w:r>
          </w:p>
        </w:tc>
        <w:tc>
          <w:tcPr>
            <w:tcW w:w="1005" w:type="dxa"/>
            <w:tcBorders>
              <w:top w:val="nil"/>
              <w:left w:val="nil"/>
              <w:bottom w:val="single" w:color="auto" w:sz="4" w:space="0"/>
              <w:right w:val="single" w:color="auto" w:sz="4" w:space="0"/>
            </w:tcBorders>
            <w:noWrap w:val="0"/>
            <w:vAlign w:val="top"/>
          </w:tcPr>
          <w:p>
            <w:pPr>
              <w:pStyle w:val="6"/>
              <w:widowControl/>
              <w:spacing w:before="49" w:line="180" w:lineRule="exact"/>
              <w:jc w:val="center"/>
              <w:rPr>
                <w:rFonts w:ascii="宋体" w:hAnsi="宋体" w:cs="宋体"/>
                <w:sz w:val="13"/>
                <w:szCs w:val="13"/>
              </w:rPr>
            </w:pPr>
            <w:r>
              <w:rPr>
                <w:rFonts w:hint="eastAsia" w:ascii="宋体" w:hAnsi="宋体" w:cs="宋体"/>
                <w:sz w:val="13"/>
                <w:szCs w:val="13"/>
              </w:rPr>
              <w:t>成为青少年社会教育领头羊</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5</w:t>
            </w: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5</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left w:val="nil"/>
              <w:right w:val="single" w:color="auto" w:sz="4" w:space="0"/>
            </w:tcBorders>
            <w:noWrap w:val="0"/>
            <w:vAlign w:val="center"/>
          </w:tcPr>
          <w:p>
            <w:pPr>
              <w:pStyle w:val="6"/>
              <w:widowControl/>
              <w:spacing w:line="240" w:lineRule="exact"/>
              <w:jc w:val="center"/>
              <w:rPr>
                <w:color w:val="000000"/>
                <w:szCs w:val="21"/>
              </w:rPr>
            </w:pPr>
          </w:p>
        </w:tc>
        <w:tc>
          <w:tcPr>
            <w:tcW w:w="1320" w:type="dxa"/>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生态环境成本指标</w:t>
            </w:r>
          </w:p>
        </w:tc>
        <w:tc>
          <w:tcPr>
            <w:tcW w:w="818" w:type="dxa"/>
            <w:tcBorders>
              <w:top w:val="nil"/>
              <w:left w:val="nil"/>
              <w:bottom w:val="single" w:color="auto" w:sz="4" w:space="0"/>
              <w:right w:val="single" w:color="auto" w:sz="4" w:space="0"/>
            </w:tcBorders>
            <w:noWrap w:val="0"/>
            <w:vAlign w:val="center"/>
          </w:tcPr>
          <w:p>
            <w:pPr>
              <w:pStyle w:val="6"/>
              <w:widowControl/>
              <w:spacing w:before="28" w:line="180" w:lineRule="exact"/>
              <w:ind w:left="27" w:right="27" w:firstLine="1"/>
              <w:jc w:val="center"/>
              <w:rPr>
                <w:rFonts w:ascii="宋体" w:hAnsi="宋体" w:cs="宋体"/>
                <w:sz w:val="13"/>
                <w:szCs w:val="13"/>
              </w:rPr>
            </w:pPr>
            <w:r>
              <w:rPr>
                <w:rFonts w:hint="eastAsia" w:ascii="宋体" w:hAnsi="宋体" w:cs="宋体"/>
                <w:sz w:val="13"/>
                <w:szCs w:val="13"/>
              </w:rPr>
              <w:t>做好青少年宫社会教育的同时，做好生态、节能、环保工作</w:t>
            </w:r>
          </w:p>
        </w:tc>
        <w:tc>
          <w:tcPr>
            <w:tcW w:w="990" w:type="dxa"/>
            <w:tcBorders>
              <w:top w:val="nil"/>
              <w:left w:val="nil"/>
              <w:bottom w:val="single" w:color="auto" w:sz="4" w:space="0"/>
              <w:right w:val="single" w:color="auto" w:sz="4" w:space="0"/>
            </w:tcBorders>
            <w:noWrap w:val="0"/>
            <w:vAlign w:val="top"/>
          </w:tcPr>
          <w:p>
            <w:pPr>
              <w:pStyle w:val="6"/>
              <w:widowControl/>
              <w:spacing w:before="209" w:line="180" w:lineRule="exact"/>
              <w:ind w:right="132"/>
              <w:jc w:val="center"/>
              <w:rPr>
                <w:rFonts w:ascii="宋体" w:hAnsi="宋体" w:cs="宋体"/>
                <w:color w:val="000000"/>
                <w:sz w:val="13"/>
                <w:szCs w:val="13"/>
              </w:rPr>
            </w:pPr>
            <w:r>
              <w:rPr>
                <w:rFonts w:hint="eastAsia" w:ascii="宋体" w:hAnsi="宋体" w:cs="宋体"/>
                <w:sz w:val="13"/>
                <w:szCs w:val="13"/>
              </w:rPr>
              <w:t>做好青少年宫 社会教育的同 时，做好生态、节能、环 保工作</w:t>
            </w:r>
          </w:p>
        </w:tc>
        <w:tc>
          <w:tcPr>
            <w:tcW w:w="1005" w:type="dxa"/>
            <w:tcBorders>
              <w:top w:val="nil"/>
              <w:left w:val="nil"/>
              <w:bottom w:val="single" w:color="auto" w:sz="4" w:space="0"/>
              <w:right w:val="single" w:color="auto" w:sz="4" w:space="0"/>
            </w:tcBorders>
            <w:noWrap w:val="0"/>
            <w:vAlign w:val="center"/>
          </w:tcPr>
          <w:p>
            <w:pPr>
              <w:pStyle w:val="6"/>
              <w:widowControl/>
              <w:spacing w:line="180" w:lineRule="exact"/>
              <w:jc w:val="center"/>
              <w:rPr>
                <w:rFonts w:ascii="宋体" w:hAnsi="宋体" w:cs="宋体"/>
                <w:color w:val="000000"/>
                <w:sz w:val="13"/>
                <w:szCs w:val="13"/>
              </w:rPr>
            </w:pPr>
            <w:r>
              <w:rPr>
                <w:rFonts w:hint="eastAsia" w:ascii="宋体" w:hAnsi="宋体" w:cs="宋体"/>
                <w:sz w:val="13"/>
                <w:szCs w:val="13"/>
              </w:rPr>
              <w:t>做好青少年宫社会教育的同时，做好生态、节能、环保工作</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5</w:t>
            </w: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5</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p>
        </w:tc>
      </w:tr>
      <w:tr>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restart"/>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产出</w:t>
            </w:r>
          </w:p>
          <w:p>
            <w:pPr>
              <w:pStyle w:val="6"/>
              <w:widowControl/>
              <w:spacing w:line="240" w:lineRule="exact"/>
              <w:jc w:val="center"/>
              <w:rPr>
                <w:color w:val="000000"/>
                <w:szCs w:val="21"/>
              </w:rPr>
            </w:pPr>
            <w:r>
              <w:rPr>
                <w:color w:val="000000"/>
                <w:szCs w:val="21"/>
              </w:rPr>
              <w:t>指标</w:t>
            </w:r>
          </w:p>
        </w:tc>
        <w:tc>
          <w:tcPr>
            <w:tcW w:w="132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数量指标</w:t>
            </w:r>
          </w:p>
        </w:tc>
        <w:tc>
          <w:tcPr>
            <w:tcW w:w="818" w:type="dxa"/>
            <w:tcBorders>
              <w:top w:val="single" w:color="auto" w:sz="4" w:space="0"/>
              <w:left w:val="nil"/>
              <w:bottom w:val="single" w:color="auto" w:sz="4" w:space="0"/>
              <w:right w:val="single" w:color="auto" w:sz="4" w:space="0"/>
            </w:tcBorders>
            <w:noWrap w:val="0"/>
            <w:vAlign w:val="center"/>
          </w:tcPr>
          <w:p>
            <w:pPr>
              <w:pStyle w:val="6"/>
              <w:widowControl/>
              <w:spacing w:before="28" w:line="180" w:lineRule="exact"/>
              <w:ind w:left="27" w:right="27" w:firstLine="1"/>
              <w:jc w:val="center"/>
              <w:rPr>
                <w:rFonts w:ascii="宋体" w:hAnsi="宋体" w:cs="宋体"/>
                <w:sz w:val="13"/>
                <w:szCs w:val="13"/>
              </w:rPr>
            </w:pPr>
            <w:r>
              <w:rPr>
                <w:rFonts w:hint="eastAsia" w:ascii="宋体" w:hAnsi="宋体" w:cs="宋体"/>
                <w:sz w:val="13"/>
                <w:szCs w:val="13"/>
              </w:rPr>
              <w:t>开办免费班，普 惠培训班，组织 各类公益活动， 参加国内外各类青少年比赛，对举办的活动等进行宣传报道</w:t>
            </w:r>
          </w:p>
        </w:tc>
        <w:tc>
          <w:tcPr>
            <w:tcW w:w="990" w:type="dxa"/>
            <w:tcBorders>
              <w:top w:val="nil"/>
              <w:left w:val="nil"/>
              <w:bottom w:val="single" w:color="auto" w:sz="4" w:space="0"/>
              <w:right w:val="single" w:color="auto" w:sz="4" w:space="0"/>
            </w:tcBorders>
            <w:noWrap w:val="0"/>
            <w:vAlign w:val="top"/>
          </w:tcPr>
          <w:p>
            <w:pPr>
              <w:pStyle w:val="6"/>
              <w:widowControl/>
              <w:spacing w:before="28" w:line="180" w:lineRule="exact"/>
              <w:ind w:left="27" w:right="27" w:firstLine="1"/>
              <w:jc w:val="center"/>
              <w:rPr>
                <w:rFonts w:ascii="宋体" w:hAnsi="宋体" w:cs="宋体"/>
                <w:sz w:val="13"/>
                <w:szCs w:val="13"/>
              </w:rPr>
            </w:pPr>
            <w:r>
              <w:rPr>
                <w:rFonts w:hint="eastAsia" w:ascii="宋体" w:hAnsi="宋体" w:cs="宋体"/>
                <w:sz w:val="13"/>
                <w:szCs w:val="13"/>
              </w:rPr>
              <w:t>开办机器人、 智能编程等免费培训班约90 个，培训人次约800余人次；开办美术、舞 蹈、器乐等普惠培训班约1000个，培训 学员约1万人  次，举办童星 大奖赛、数独 运动会、我们 的节日等公益 活动约100次。 对各类培训、  活动等进行宣 传报道约800次，各类报道阅读量约500万次</w:t>
            </w:r>
          </w:p>
        </w:tc>
        <w:tc>
          <w:tcPr>
            <w:tcW w:w="1005" w:type="dxa"/>
            <w:tcBorders>
              <w:top w:val="nil"/>
              <w:left w:val="nil"/>
              <w:bottom w:val="single" w:color="auto" w:sz="4" w:space="0"/>
              <w:right w:val="single" w:color="auto" w:sz="4" w:space="0"/>
            </w:tcBorders>
            <w:noWrap w:val="0"/>
            <w:vAlign w:val="top"/>
          </w:tcPr>
          <w:p>
            <w:pPr>
              <w:pStyle w:val="6"/>
              <w:widowControl/>
              <w:spacing w:before="49" w:line="180" w:lineRule="exact"/>
              <w:ind w:right="10"/>
              <w:jc w:val="center"/>
              <w:rPr>
                <w:rFonts w:hint="eastAsia" w:ascii="宋体" w:hAnsi="宋体" w:cs="宋体"/>
                <w:sz w:val="13"/>
                <w:szCs w:val="13"/>
              </w:rPr>
            </w:pPr>
            <w:r>
              <w:rPr>
                <w:rFonts w:hint="eastAsia" w:ascii="宋体" w:hAnsi="宋体" w:cs="宋体"/>
                <w:sz w:val="13"/>
                <w:szCs w:val="13"/>
              </w:rPr>
              <w:t>开办机器人、智能编程等免费培训班约130  个，培训人次约800余人次；开办美术、舞 蹈、器乐等普惠培训班约1400个，培训学员 约1万人次，举办童星大奖赛、数独运动会、我们的节日等公益活动约114次。对各 类培训、活动等进行宣传报道约800次，各 类报道阅读量约500万次以上。</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20</w:t>
            </w: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20</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left w:val="nil"/>
              <w:right w:val="single" w:color="auto" w:sz="4" w:space="0"/>
            </w:tcBorders>
            <w:noWrap w:val="0"/>
            <w:vAlign w:val="center"/>
          </w:tcPr>
          <w:p>
            <w:pPr>
              <w:pStyle w:val="6"/>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质量指标</w:t>
            </w:r>
          </w:p>
        </w:tc>
        <w:tc>
          <w:tcPr>
            <w:tcW w:w="818" w:type="dxa"/>
            <w:tcBorders>
              <w:top w:val="nil"/>
              <w:left w:val="nil"/>
              <w:bottom w:val="single" w:color="auto" w:sz="4" w:space="0"/>
              <w:right w:val="single" w:color="auto" w:sz="4" w:space="0"/>
            </w:tcBorders>
            <w:noWrap w:val="0"/>
            <w:vAlign w:val="center"/>
          </w:tcPr>
          <w:p>
            <w:pPr>
              <w:pStyle w:val="6"/>
              <w:widowControl/>
              <w:spacing w:before="28" w:line="180" w:lineRule="exact"/>
              <w:ind w:left="27" w:right="27" w:firstLine="1"/>
              <w:jc w:val="center"/>
              <w:rPr>
                <w:rFonts w:ascii="宋体" w:hAnsi="宋体" w:cs="宋体"/>
                <w:sz w:val="13"/>
                <w:szCs w:val="13"/>
              </w:rPr>
            </w:pPr>
            <w:r>
              <w:rPr>
                <w:rFonts w:hint="eastAsia" w:ascii="宋体" w:hAnsi="宋体" w:cs="宋体"/>
                <w:sz w:val="13"/>
                <w:szCs w:val="13"/>
              </w:rPr>
              <w:t>重大活动及时举行，重大活动有宣传报道，培训合格率达90%，报道阅读量达百万次</w:t>
            </w:r>
          </w:p>
        </w:tc>
        <w:tc>
          <w:tcPr>
            <w:tcW w:w="990" w:type="dxa"/>
            <w:tcBorders>
              <w:top w:val="nil"/>
              <w:left w:val="nil"/>
              <w:bottom w:val="single" w:color="auto" w:sz="4" w:space="0"/>
              <w:right w:val="single" w:color="auto" w:sz="4" w:space="0"/>
            </w:tcBorders>
            <w:noWrap w:val="0"/>
            <w:vAlign w:val="top"/>
          </w:tcPr>
          <w:p>
            <w:pPr>
              <w:pStyle w:val="6"/>
              <w:widowControl/>
              <w:spacing w:before="49" w:line="180" w:lineRule="exact"/>
              <w:ind w:right="132"/>
              <w:jc w:val="center"/>
              <w:rPr>
                <w:rFonts w:ascii="宋体" w:hAnsi="宋体" w:cs="宋体"/>
                <w:sz w:val="13"/>
                <w:szCs w:val="13"/>
              </w:rPr>
            </w:pPr>
            <w:r>
              <w:rPr>
                <w:rFonts w:hint="eastAsia" w:ascii="宋体" w:hAnsi="宋体" w:cs="宋体"/>
                <w:sz w:val="13"/>
                <w:szCs w:val="13"/>
              </w:rPr>
              <w:t>重大活动及时举行，培训合格率和报道阅读量达标</w:t>
            </w:r>
          </w:p>
        </w:tc>
        <w:tc>
          <w:tcPr>
            <w:tcW w:w="1005" w:type="dxa"/>
            <w:tcBorders>
              <w:top w:val="nil"/>
              <w:left w:val="nil"/>
              <w:bottom w:val="single" w:color="auto" w:sz="4" w:space="0"/>
              <w:right w:val="single" w:color="auto" w:sz="4" w:space="0"/>
            </w:tcBorders>
            <w:noWrap w:val="0"/>
            <w:vAlign w:val="top"/>
          </w:tcPr>
          <w:p>
            <w:pPr>
              <w:pStyle w:val="6"/>
              <w:widowControl/>
              <w:spacing w:before="49" w:line="180" w:lineRule="exact"/>
              <w:ind w:right="40"/>
              <w:jc w:val="center"/>
              <w:rPr>
                <w:rFonts w:ascii="宋体" w:hAnsi="宋体" w:cs="宋体"/>
                <w:sz w:val="13"/>
                <w:szCs w:val="13"/>
              </w:rPr>
            </w:pPr>
            <w:r>
              <w:rPr>
                <w:rFonts w:hint="eastAsia" w:ascii="宋体" w:hAnsi="宋体" w:cs="宋体"/>
                <w:sz w:val="13"/>
                <w:szCs w:val="13"/>
              </w:rPr>
              <w:t>重大活动及时举行，培训合格率和报道阅读 量达标</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p>
        </w:tc>
      </w:tr>
      <w:tr>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left w:val="nil"/>
              <w:right w:val="single" w:color="auto" w:sz="4" w:space="0"/>
            </w:tcBorders>
            <w:noWrap w:val="0"/>
            <w:vAlign w:val="center"/>
          </w:tcPr>
          <w:p>
            <w:pPr>
              <w:pStyle w:val="6"/>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时效指标</w:t>
            </w:r>
          </w:p>
        </w:tc>
        <w:tc>
          <w:tcPr>
            <w:tcW w:w="818" w:type="dxa"/>
            <w:tcBorders>
              <w:top w:val="nil"/>
              <w:left w:val="nil"/>
              <w:bottom w:val="single" w:color="auto" w:sz="4" w:space="0"/>
              <w:right w:val="single" w:color="auto" w:sz="4" w:space="0"/>
            </w:tcBorders>
            <w:noWrap w:val="0"/>
            <w:vAlign w:val="center"/>
          </w:tcPr>
          <w:p>
            <w:pPr>
              <w:pStyle w:val="6"/>
              <w:widowControl/>
              <w:spacing w:before="28" w:line="180" w:lineRule="exact"/>
              <w:ind w:right="27"/>
              <w:jc w:val="center"/>
              <w:rPr>
                <w:rFonts w:ascii="宋体" w:hAnsi="宋体" w:cs="宋体"/>
                <w:sz w:val="13"/>
                <w:szCs w:val="13"/>
              </w:rPr>
            </w:pPr>
            <w:r>
              <w:rPr>
                <w:rFonts w:hint="eastAsia" w:ascii="宋体" w:hAnsi="宋体" w:cs="宋体"/>
                <w:sz w:val="13"/>
                <w:szCs w:val="13"/>
              </w:rPr>
              <w:t>活动开展及时，宣传报道及时</w:t>
            </w:r>
          </w:p>
        </w:tc>
        <w:tc>
          <w:tcPr>
            <w:tcW w:w="990" w:type="dxa"/>
            <w:tcBorders>
              <w:top w:val="nil"/>
              <w:left w:val="nil"/>
              <w:bottom w:val="single" w:color="auto" w:sz="4" w:space="0"/>
              <w:right w:val="single" w:color="auto" w:sz="4" w:space="0"/>
            </w:tcBorders>
            <w:noWrap w:val="0"/>
            <w:vAlign w:val="top"/>
          </w:tcPr>
          <w:p>
            <w:pPr>
              <w:pStyle w:val="6"/>
              <w:widowControl/>
              <w:spacing w:before="207" w:line="180" w:lineRule="exact"/>
              <w:ind w:right="117"/>
              <w:jc w:val="center"/>
              <w:rPr>
                <w:rFonts w:ascii="宋体" w:hAnsi="宋体" w:cs="宋体"/>
                <w:sz w:val="13"/>
                <w:szCs w:val="13"/>
              </w:rPr>
            </w:pPr>
            <w:r>
              <w:rPr>
                <w:rFonts w:hint="eastAsia" w:ascii="宋体" w:hAnsi="宋体" w:cs="宋体"/>
                <w:sz w:val="13"/>
                <w:szCs w:val="13"/>
              </w:rPr>
              <w:t>按年度工作计划各类活动开 展及时性达9 0%，宣传报道 及时性达90%</w:t>
            </w:r>
          </w:p>
        </w:tc>
        <w:tc>
          <w:tcPr>
            <w:tcW w:w="1005" w:type="dxa"/>
            <w:tcBorders>
              <w:top w:val="nil"/>
              <w:left w:val="nil"/>
              <w:bottom w:val="single" w:color="auto" w:sz="4" w:space="0"/>
              <w:right w:val="single" w:color="auto" w:sz="4" w:space="0"/>
            </w:tcBorders>
            <w:noWrap w:val="0"/>
            <w:vAlign w:val="top"/>
          </w:tcPr>
          <w:p>
            <w:pPr>
              <w:pStyle w:val="6"/>
              <w:widowControl/>
              <w:spacing w:before="48" w:line="180" w:lineRule="exact"/>
              <w:ind w:right="40"/>
              <w:jc w:val="center"/>
              <w:rPr>
                <w:rFonts w:hint="eastAsia" w:ascii="宋体" w:hAnsi="宋体" w:cs="宋体"/>
                <w:sz w:val="13"/>
                <w:szCs w:val="13"/>
              </w:rPr>
            </w:pPr>
          </w:p>
          <w:p>
            <w:pPr>
              <w:pStyle w:val="6"/>
              <w:widowControl/>
              <w:spacing w:before="48" w:line="180" w:lineRule="exact"/>
              <w:ind w:right="40"/>
              <w:jc w:val="center"/>
              <w:rPr>
                <w:rFonts w:ascii="宋体" w:hAnsi="宋体" w:cs="宋体"/>
                <w:sz w:val="13"/>
                <w:szCs w:val="13"/>
              </w:rPr>
            </w:pPr>
            <w:r>
              <w:rPr>
                <w:rFonts w:hint="eastAsia" w:ascii="宋体" w:hAnsi="宋体" w:cs="宋体"/>
                <w:sz w:val="13"/>
                <w:szCs w:val="13"/>
              </w:rPr>
              <w:t>按年度工作计划，及时开展各类活动，及时进行宣传报道</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restart"/>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效益</w:t>
            </w:r>
          </w:p>
          <w:p>
            <w:pPr>
              <w:pStyle w:val="6"/>
              <w:widowControl/>
              <w:spacing w:line="240" w:lineRule="exact"/>
              <w:jc w:val="center"/>
              <w:rPr>
                <w:color w:val="000000"/>
                <w:szCs w:val="21"/>
              </w:rPr>
            </w:pPr>
            <w:r>
              <w:rPr>
                <w:color w:val="000000"/>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经济效益</w:t>
            </w:r>
          </w:p>
          <w:p>
            <w:pPr>
              <w:pStyle w:val="6"/>
              <w:widowControl/>
              <w:spacing w:line="240" w:lineRule="exact"/>
              <w:jc w:val="center"/>
              <w:rPr>
                <w:color w:val="000000"/>
                <w:szCs w:val="21"/>
              </w:rPr>
            </w:pPr>
            <w:r>
              <w:rPr>
                <w:color w:val="000000"/>
                <w:szCs w:val="21"/>
              </w:rPr>
              <w:t>指标</w:t>
            </w:r>
          </w:p>
        </w:tc>
        <w:tc>
          <w:tcPr>
            <w:tcW w:w="818"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before="28" w:line="180" w:lineRule="exact"/>
              <w:ind w:left="27" w:right="27" w:firstLine="1"/>
              <w:jc w:val="center"/>
              <w:rPr>
                <w:rFonts w:hint="eastAsia" w:ascii="宋体" w:hAnsi="宋体" w:cs="宋体"/>
                <w:sz w:val="13"/>
                <w:szCs w:val="13"/>
              </w:rPr>
            </w:pPr>
          </w:p>
          <w:p>
            <w:pPr>
              <w:pStyle w:val="6"/>
              <w:widowControl/>
              <w:spacing w:before="28" w:line="180" w:lineRule="exact"/>
              <w:ind w:left="27" w:right="27" w:firstLine="1"/>
              <w:jc w:val="center"/>
              <w:rPr>
                <w:rFonts w:ascii="宋体" w:hAnsi="宋体" w:cs="宋体"/>
                <w:sz w:val="13"/>
                <w:szCs w:val="13"/>
              </w:rPr>
            </w:pPr>
            <w:r>
              <w:rPr>
                <w:rFonts w:hint="eastAsia" w:ascii="宋体" w:hAnsi="宋体" w:cs="宋体"/>
                <w:sz w:val="13"/>
                <w:szCs w:val="13"/>
              </w:rPr>
              <w:t>普惠教学，完善 场馆管理，提高 经济效益</w:t>
            </w:r>
          </w:p>
        </w:tc>
        <w:tc>
          <w:tcPr>
            <w:tcW w:w="990"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line="180" w:lineRule="exact"/>
              <w:jc w:val="center"/>
              <w:rPr>
                <w:rFonts w:hint="eastAsia" w:ascii="宋体" w:hAnsi="宋体" w:cs="宋体"/>
                <w:sz w:val="13"/>
                <w:szCs w:val="13"/>
              </w:rPr>
            </w:pPr>
          </w:p>
          <w:p>
            <w:pPr>
              <w:pStyle w:val="6"/>
              <w:widowControl/>
              <w:spacing w:before="49" w:line="180" w:lineRule="exact"/>
              <w:ind w:left="29" w:right="17" w:firstLine="1"/>
              <w:jc w:val="center"/>
              <w:rPr>
                <w:rFonts w:ascii="宋体" w:hAnsi="宋体" w:cs="宋体"/>
                <w:sz w:val="13"/>
                <w:szCs w:val="13"/>
              </w:rPr>
            </w:pPr>
            <w:r>
              <w:rPr>
                <w:rFonts w:hint="eastAsia" w:ascii="宋体" w:hAnsi="宋体" w:cs="宋体"/>
                <w:sz w:val="13"/>
                <w:szCs w:val="13"/>
              </w:rPr>
              <w:t>项目预计3568.09万元</w:t>
            </w:r>
          </w:p>
        </w:tc>
        <w:tc>
          <w:tcPr>
            <w:tcW w:w="1005"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line="180" w:lineRule="exact"/>
              <w:jc w:val="center"/>
              <w:rPr>
                <w:rFonts w:hint="eastAsia" w:ascii="宋体" w:hAnsi="宋体" w:cs="宋体"/>
                <w:sz w:val="13"/>
                <w:szCs w:val="13"/>
              </w:rPr>
            </w:pPr>
          </w:p>
          <w:p>
            <w:pPr>
              <w:pStyle w:val="6"/>
              <w:widowControl/>
              <w:spacing w:before="48" w:line="180" w:lineRule="exact"/>
              <w:jc w:val="center"/>
              <w:rPr>
                <w:rFonts w:ascii="宋体" w:hAnsi="宋体" w:cs="宋体"/>
                <w:sz w:val="13"/>
                <w:szCs w:val="13"/>
              </w:rPr>
            </w:pPr>
            <w:r>
              <w:rPr>
                <w:rFonts w:hint="eastAsia" w:ascii="宋体" w:hAnsi="宋体" w:cs="宋体"/>
                <w:sz w:val="13"/>
                <w:szCs w:val="13"/>
              </w:rPr>
              <w:t>项目完成2958.23万元</w:t>
            </w:r>
          </w:p>
        </w:tc>
        <w:tc>
          <w:tcPr>
            <w:tcW w:w="6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r>
              <w:rPr>
                <w:rFonts w:hint="eastAsia"/>
                <w:color w:val="000000"/>
                <w:sz w:val="13"/>
                <w:szCs w:val="13"/>
              </w:rPr>
              <w:t>预算执行率低，提高预算编制合理性</w:t>
            </w:r>
          </w:p>
        </w:tc>
      </w:tr>
      <w:tr>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left w:val="nil"/>
              <w:right w:val="single" w:color="auto" w:sz="4" w:space="0"/>
            </w:tcBorders>
            <w:noWrap w:val="0"/>
            <w:vAlign w:val="center"/>
          </w:tcPr>
          <w:p>
            <w:pPr>
              <w:pStyle w:val="6"/>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社会效益</w:t>
            </w:r>
          </w:p>
          <w:p>
            <w:pPr>
              <w:pStyle w:val="6"/>
              <w:widowControl/>
              <w:spacing w:line="240" w:lineRule="exact"/>
              <w:jc w:val="center"/>
              <w:rPr>
                <w:color w:val="000000"/>
                <w:szCs w:val="21"/>
              </w:rPr>
            </w:pPr>
            <w:r>
              <w:rPr>
                <w:color w:val="000000"/>
                <w:szCs w:val="21"/>
              </w:rPr>
              <w:t>指标</w:t>
            </w:r>
          </w:p>
        </w:tc>
        <w:tc>
          <w:tcPr>
            <w:tcW w:w="818"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before="28" w:line="180" w:lineRule="exact"/>
              <w:ind w:left="27" w:right="27" w:firstLine="1"/>
              <w:jc w:val="center"/>
              <w:rPr>
                <w:rFonts w:ascii="宋体" w:hAnsi="宋体" w:cs="宋体"/>
                <w:sz w:val="13"/>
                <w:szCs w:val="13"/>
              </w:rPr>
            </w:pPr>
            <w:r>
              <w:rPr>
                <w:rFonts w:hint="eastAsia" w:ascii="宋体" w:hAnsi="宋体" w:cs="宋体"/>
                <w:sz w:val="13"/>
                <w:szCs w:val="13"/>
              </w:rPr>
              <w:t>深入贯彻落实党 的二十大、十九 届六中全会等精 神，传承红色基 因，加大少先队 工作力度，加强 科技科普教育， 广泛开展各类青 少年社会教育和 公益活动，服务青少年成长、推 动社会教育事业 发展，无重大安 全事故发生</w:t>
            </w:r>
          </w:p>
        </w:tc>
        <w:tc>
          <w:tcPr>
            <w:tcW w:w="990"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before="49" w:line="180" w:lineRule="exact"/>
              <w:ind w:right="132"/>
              <w:jc w:val="center"/>
              <w:rPr>
                <w:rFonts w:ascii="宋体" w:hAnsi="宋体" w:cs="宋体"/>
                <w:sz w:val="13"/>
                <w:szCs w:val="13"/>
              </w:rPr>
            </w:pPr>
            <w:r>
              <w:rPr>
                <w:rFonts w:hint="eastAsia" w:ascii="宋体" w:hAnsi="宋体" w:cs="宋体"/>
                <w:sz w:val="13"/>
                <w:szCs w:val="13"/>
              </w:rPr>
              <w:t>工作人员专业 素养提升，重 大安全事故率 为0</w:t>
            </w:r>
          </w:p>
        </w:tc>
        <w:tc>
          <w:tcPr>
            <w:tcW w:w="1005"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before="48" w:line="180" w:lineRule="exact"/>
              <w:ind w:right="40"/>
              <w:jc w:val="center"/>
              <w:rPr>
                <w:rFonts w:ascii="宋体" w:hAnsi="宋体" w:cs="宋体"/>
                <w:sz w:val="13"/>
                <w:szCs w:val="13"/>
              </w:rPr>
            </w:pPr>
            <w:r>
              <w:rPr>
                <w:rFonts w:hint="eastAsia" w:ascii="宋体" w:hAnsi="宋体" w:cs="宋体"/>
                <w:sz w:val="13"/>
                <w:szCs w:val="13"/>
              </w:rPr>
              <w:t>在编人员全员事业单位工作人员培训，专业 老师参加业务培训，提升专业素养，全年无 重大安全事故发生</w:t>
            </w:r>
          </w:p>
        </w:tc>
        <w:tc>
          <w:tcPr>
            <w:tcW w:w="6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5</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5</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left w:val="nil"/>
              <w:right w:val="single" w:color="auto" w:sz="4" w:space="0"/>
            </w:tcBorders>
            <w:noWrap w:val="0"/>
            <w:vAlign w:val="center"/>
          </w:tcPr>
          <w:p>
            <w:pPr>
              <w:pStyle w:val="6"/>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环境效益</w:t>
            </w:r>
          </w:p>
          <w:p>
            <w:pPr>
              <w:pStyle w:val="6"/>
              <w:widowControl/>
              <w:spacing w:line="240" w:lineRule="exact"/>
              <w:jc w:val="center"/>
              <w:rPr>
                <w:color w:val="000000"/>
                <w:szCs w:val="21"/>
              </w:rPr>
            </w:pPr>
            <w:r>
              <w:rPr>
                <w:color w:val="000000"/>
                <w:szCs w:val="21"/>
              </w:rPr>
              <w:t>指标</w:t>
            </w:r>
          </w:p>
        </w:tc>
        <w:tc>
          <w:tcPr>
            <w:tcW w:w="818"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before="28" w:line="180" w:lineRule="exact"/>
              <w:ind w:left="27" w:right="27" w:firstLine="1"/>
              <w:jc w:val="center"/>
              <w:rPr>
                <w:rFonts w:hint="eastAsia" w:ascii="宋体" w:hAnsi="宋体" w:cs="宋体"/>
                <w:sz w:val="13"/>
                <w:szCs w:val="13"/>
              </w:rPr>
            </w:pPr>
          </w:p>
          <w:p>
            <w:pPr>
              <w:pStyle w:val="6"/>
              <w:widowControl/>
              <w:spacing w:before="28" w:line="180" w:lineRule="exact"/>
              <w:ind w:left="27" w:right="27" w:firstLine="1"/>
              <w:jc w:val="center"/>
              <w:rPr>
                <w:rFonts w:ascii="宋体" w:hAnsi="宋体" w:cs="宋体"/>
                <w:sz w:val="13"/>
                <w:szCs w:val="13"/>
              </w:rPr>
            </w:pPr>
            <w:r>
              <w:rPr>
                <w:rFonts w:hint="eastAsia" w:ascii="宋体" w:hAnsi="宋体" w:cs="宋体"/>
                <w:sz w:val="13"/>
                <w:szCs w:val="13"/>
              </w:rPr>
              <w:t>优化青少年社会 教育环境</w:t>
            </w:r>
          </w:p>
        </w:tc>
        <w:tc>
          <w:tcPr>
            <w:tcW w:w="990"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line="180" w:lineRule="exact"/>
              <w:jc w:val="center"/>
              <w:rPr>
                <w:rFonts w:hint="eastAsia" w:ascii="宋体" w:hAnsi="宋体" w:cs="宋体"/>
                <w:sz w:val="13"/>
                <w:szCs w:val="13"/>
              </w:rPr>
            </w:pPr>
          </w:p>
          <w:p>
            <w:pPr>
              <w:pStyle w:val="6"/>
              <w:widowControl/>
              <w:spacing w:before="49" w:line="180" w:lineRule="exact"/>
              <w:ind w:left="28" w:right="132" w:firstLine="3"/>
              <w:jc w:val="center"/>
              <w:rPr>
                <w:rFonts w:ascii="宋体" w:hAnsi="宋体" w:cs="宋体"/>
                <w:sz w:val="13"/>
                <w:szCs w:val="13"/>
              </w:rPr>
            </w:pPr>
            <w:r>
              <w:rPr>
                <w:rFonts w:hint="eastAsia" w:ascii="宋体" w:hAnsi="宋体" w:cs="宋体"/>
                <w:sz w:val="13"/>
                <w:szCs w:val="13"/>
              </w:rPr>
              <w:t>打造青少年社 会教育示范基 地</w:t>
            </w:r>
          </w:p>
        </w:tc>
        <w:tc>
          <w:tcPr>
            <w:tcW w:w="1005"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line="180" w:lineRule="exact"/>
              <w:jc w:val="center"/>
              <w:rPr>
                <w:rFonts w:hint="eastAsia" w:ascii="宋体" w:hAnsi="宋体" w:cs="宋体"/>
                <w:sz w:val="13"/>
                <w:szCs w:val="13"/>
              </w:rPr>
            </w:pPr>
          </w:p>
          <w:p>
            <w:pPr>
              <w:pStyle w:val="6"/>
              <w:widowControl/>
              <w:spacing w:before="49" w:line="180" w:lineRule="exact"/>
              <w:jc w:val="center"/>
              <w:rPr>
                <w:rFonts w:ascii="宋体" w:hAnsi="宋体" w:cs="宋体"/>
                <w:sz w:val="13"/>
                <w:szCs w:val="13"/>
              </w:rPr>
            </w:pPr>
            <w:r>
              <w:rPr>
                <w:rFonts w:hint="eastAsia" w:ascii="宋体" w:hAnsi="宋体" w:cs="宋体"/>
                <w:sz w:val="13"/>
                <w:szCs w:val="13"/>
              </w:rPr>
              <w:t>打造青少年社会教育示范基地</w:t>
            </w:r>
          </w:p>
        </w:tc>
        <w:tc>
          <w:tcPr>
            <w:tcW w:w="6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2</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2</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p>
        </w:tc>
      </w:tr>
      <w:tr>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left w:val="nil"/>
              <w:bottom w:val="single" w:color="auto" w:sz="4" w:space="0"/>
              <w:right w:val="single" w:color="auto" w:sz="4" w:space="0"/>
            </w:tcBorders>
            <w:noWrap w:val="0"/>
            <w:vAlign w:val="center"/>
          </w:tcPr>
          <w:p>
            <w:pPr>
              <w:pStyle w:val="6"/>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可持续影响指标</w:t>
            </w:r>
          </w:p>
        </w:tc>
        <w:tc>
          <w:tcPr>
            <w:tcW w:w="818"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before="28" w:line="180" w:lineRule="exact"/>
              <w:ind w:left="27" w:right="27" w:firstLine="1"/>
              <w:jc w:val="center"/>
              <w:rPr>
                <w:rFonts w:hint="eastAsia" w:ascii="宋体" w:hAnsi="宋体" w:cs="宋体"/>
                <w:sz w:val="13"/>
                <w:szCs w:val="13"/>
              </w:rPr>
            </w:pPr>
            <w:r>
              <w:rPr>
                <w:rFonts w:hint="eastAsia" w:ascii="宋体" w:hAnsi="宋体" w:cs="宋体"/>
                <w:sz w:val="13"/>
                <w:szCs w:val="13"/>
              </w:rPr>
              <w:t>履行好青少年宫社会教育职责，服务青少年成长</w:t>
            </w:r>
          </w:p>
        </w:tc>
        <w:tc>
          <w:tcPr>
            <w:tcW w:w="990"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before="49" w:line="180" w:lineRule="exact"/>
              <w:ind w:left="28" w:right="132" w:firstLine="3"/>
              <w:jc w:val="center"/>
              <w:rPr>
                <w:rFonts w:hint="eastAsia" w:ascii="宋体" w:hAnsi="宋体" w:cs="宋体"/>
                <w:sz w:val="13"/>
                <w:szCs w:val="13"/>
              </w:rPr>
            </w:pPr>
            <w:r>
              <w:rPr>
                <w:rFonts w:hint="eastAsia" w:ascii="宋体" w:hAnsi="宋体" w:cs="宋体"/>
                <w:sz w:val="13"/>
                <w:szCs w:val="13"/>
              </w:rPr>
              <w:t>做好青少年社会教育工作</w:t>
            </w:r>
          </w:p>
        </w:tc>
        <w:tc>
          <w:tcPr>
            <w:tcW w:w="1005"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before="49" w:line="180" w:lineRule="exact"/>
              <w:ind w:left="32"/>
              <w:jc w:val="center"/>
              <w:rPr>
                <w:rFonts w:hint="eastAsia" w:ascii="宋体" w:hAnsi="宋体" w:cs="宋体"/>
                <w:sz w:val="13"/>
                <w:szCs w:val="13"/>
              </w:rPr>
            </w:pPr>
            <w:r>
              <w:rPr>
                <w:rFonts w:hint="eastAsia" w:ascii="宋体" w:hAnsi="宋体" w:cs="宋体"/>
                <w:sz w:val="13"/>
                <w:szCs w:val="13"/>
              </w:rPr>
              <w:t>做好青少年社会教育工作</w:t>
            </w:r>
          </w:p>
        </w:tc>
        <w:tc>
          <w:tcPr>
            <w:tcW w:w="6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3</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3</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满意度指标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服务对象</w:t>
            </w:r>
          </w:p>
          <w:p>
            <w:pPr>
              <w:pStyle w:val="6"/>
              <w:widowControl/>
              <w:spacing w:line="240" w:lineRule="exact"/>
              <w:jc w:val="center"/>
              <w:rPr>
                <w:color w:val="000000"/>
                <w:szCs w:val="21"/>
              </w:rPr>
            </w:pPr>
            <w:r>
              <w:rPr>
                <w:color w:val="000000"/>
                <w:szCs w:val="21"/>
              </w:rPr>
              <w:t>满意度指标</w:t>
            </w:r>
          </w:p>
        </w:tc>
        <w:tc>
          <w:tcPr>
            <w:tcW w:w="818"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before="28" w:line="180" w:lineRule="exact"/>
              <w:ind w:left="27" w:right="27" w:firstLine="1"/>
              <w:jc w:val="center"/>
              <w:rPr>
                <w:rFonts w:hint="eastAsia" w:ascii="宋体" w:hAnsi="宋体" w:cs="宋体"/>
                <w:sz w:val="13"/>
                <w:szCs w:val="13"/>
              </w:rPr>
            </w:pPr>
          </w:p>
          <w:p>
            <w:pPr>
              <w:pStyle w:val="6"/>
              <w:widowControl/>
              <w:spacing w:before="28" w:line="180" w:lineRule="exact"/>
              <w:ind w:left="27" w:right="27" w:firstLine="1"/>
              <w:jc w:val="center"/>
              <w:rPr>
                <w:rFonts w:ascii="宋体" w:hAnsi="宋体" w:cs="宋体"/>
                <w:sz w:val="13"/>
                <w:szCs w:val="13"/>
              </w:rPr>
            </w:pPr>
            <w:r>
              <w:rPr>
                <w:rFonts w:hint="eastAsia" w:ascii="宋体" w:hAnsi="宋体" w:cs="宋体"/>
                <w:sz w:val="13"/>
                <w:szCs w:val="13"/>
              </w:rPr>
              <w:t>让广大学员及家 长满意达95%</w:t>
            </w:r>
          </w:p>
        </w:tc>
        <w:tc>
          <w:tcPr>
            <w:tcW w:w="990"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line="180" w:lineRule="exact"/>
              <w:jc w:val="center"/>
              <w:rPr>
                <w:rFonts w:hint="eastAsia" w:ascii="宋体" w:hAnsi="宋体" w:cs="宋体"/>
                <w:sz w:val="13"/>
                <w:szCs w:val="13"/>
              </w:rPr>
            </w:pPr>
          </w:p>
          <w:p>
            <w:pPr>
              <w:pStyle w:val="6"/>
              <w:widowControl/>
              <w:spacing w:before="49" w:line="180" w:lineRule="exact"/>
              <w:ind w:left="29" w:right="32"/>
              <w:jc w:val="center"/>
              <w:rPr>
                <w:rFonts w:ascii="宋体" w:hAnsi="宋体" w:cs="宋体"/>
                <w:sz w:val="13"/>
                <w:szCs w:val="13"/>
              </w:rPr>
            </w:pPr>
            <w:r>
              <w:rPr>
                <w:rFonts w:hint="eastAsia" w:ascii="宋体" w:hAnsi="宋体" w:cs="宋体"/>
                <w:sz w:val="13"/>
                <w:szCs w:val="13"/>
              </w:rPr>
              <w:t>让广大学员及 家长满意达95%</w:t>
            </w:r>
          </w:p>
        </w:tc>
        <w:tc>
          <w:tcPr>
            <w:tcW w:w="1005" w:type="dxa"/>
            <w:tcBorders>
              <w:top w:val="single" w:color="auto" w:sz="4" w:space="0"/>
              <w:left w:val="single" w:color="auto" w:sz="4" w:space="0"/>
              <w:bottom w:val="single" w:color="auto" w:sz="4" w:space="0"/>
              <w:right w:val="single" w:color="auto" w:sz="4" w:space="0"/>
            </w:tcBorders>
            <w:noWrap w:val="0"/>
            <w:vAlign w:val="top"/>
          </w:tcPr>
          <w:p>
            <w:pPr>
              <w:pStyle w:val="6"/>
              <w:widowControl/>
              <w:spacing w:line="180" w:lineRule="exact"/>
              <w:jc w:val="center"/>
              <w:rPr>
                <w:rFonts w:hint="eastAsia" w:ascii="宋体" w:hAnsi="宋体" w:cs="宋体"/>
                <w:sz w:val="13"/>
                <w:szCs w:val="13"/>
              </w:rPr>
            </w:pPr>
          </w:p>
          <w:p>
            <w:pPr>
              <w:pStyle w:val="6"/>
              <w:widowControl/>
              <w:spacing w:before="48" w:line="180" w:lineRule="exact"/>
              <w:jc w:val="center"/>
              <w:rPr>
                <w:rFonts w:ascii="宋体" w:hAnsi="宋体" w:cs="宋体"/>
                <w:sz w:val="13"/>
                <w:szCs w:val="13"/>
              </w:rPr>
            </w:pPr>
            <w:r>
              <w:rPr>
                <w:rFonts w:hint="eastAsia" w:ascii="宋体" w:hAnsi="宋体" w:cs="宋体"/>
                <w:sz w:val="13"/>
                <w:szCs w:val="13"/>
              </w:rPr>
              <w:t>让广大学员及家长满意达95%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3"/>
                <w:szCs w:val="13"/>
              </w:rPr>
            </w:pPr>
          </w:p>
        </w:tc>
      </w:tr>
      <w:tr>
        <w:trPr>
          <w:trHeight w:val="23" w:hRule="atLeast"/>
          <w:jc w:val="center"/>
        </w:trPr>
        <w:tc>
          <w:tcPr>
            <w:tcW w:w="6350" w:type="dxa"/>
            <w:gridSpan w:val="6"/>
            <w:tcBorders>
              <w:top w:val="single" w:color="auto" w:sz="4" w:space="0"/>
              <w:left w:val="single" w:color="auto" w:sz="4" w:space="0"/>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总  分</w:t>
            </w:r>
          </w:p>
        </w:tc>
        <w:tc>
          <w:tcPr>
            <w:tcW w:w="6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100</w:t>
            </w:r>
          </w:p>
        </w:tc>
        <w:tc>
          <w:tcPr>
            <w:tcW w:w="76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96.29</w:t>
            </w:r>
          </w:p>
        </w:tc>
        <w:tc>
          <w:tcPr>
            <w:tcW w:w="11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bl>
    <w:p>
      <w:pPr>
        <w:pStyle w:val="6"/>
        <w:spacing w:before="156" w:beforeLines="50" w:after="156" w:afterLines="50" w:line="600" w:lineRule="exact"/>
        <w:jc w:val="center"/>
        <w:rPr>
          <w:rFonts w:hint="eastAsia" w:ascii="黑体" w:hAnsi="黑体" w:eastAsia="黑体" w:cs="黑体"/>
          <w:sz w:val="44"/>
          <w:szCs w:val="44"/>
        </w:rPr>
      </w:pPr>
    </w:p>
    <w:p>
      <w:pPr>
        <w:pStyle w:val="6"/>
        <w:spacing w:before="156" w:beforeLines="50" w:after="156" w:afterLines="50" w:line="600" w:lineRule="exact"/>
        <w:jc w:val="center"/>
        <w:rPr>
          <w:rFonts w:hint="eastAsia" w:ascii="黑体" w:hAnsi="黑体" w:eastAsia="黑体" w:cs="黑体"/>
          <w:sz w:val="44"/>
          <w:szCs w:val="44"/>
        </w:rPr>
      </w:pPr>
    </w:p>
    <w:p>
      <w:pPr>
        <w:pStyle w:val="6"/>
        <w:spacing w:before="156" w:beforeLines="50" w:after="156" w:afterLines="50" w:line="600" w:lineRule="exact"/>
        <w:jc w:val="center"/>
        <w:rPr>
          <w:rFonts w:hint="eastAsia" w:ascii="黑体" w:hAnsi="黑体" w:eastAsia="黑体" w:cs="黑体"/>
          <w:sz w:val="44"/>
          <w:szCs w:val="44"/>
        </w:rPr>
      </w:pPr>
    </w:p>
    <w:p>
      <w:pPr>
        <w:pStyle w:val="6"/>
        <w:spacing w:before="156" w:beforeLines="50" w:after="156" w:afterLines="50" w:line="600" w:lineRule="exact"/>
        <w:jc w:val="center"/>
        <w:rPr>
          <w:rFonts w:hint="eastAsia" w:ascii="黑体" w:hAnsi="黑体" w:eastAsia="黑体" w:cs="黑体"/>
          <w:sz w:val="44"/>
          <w:szCs w:val="44"/>
        </w:rPr>
      </w:pPr>
    </w:p>
    <w:p>
      <w:pPr>
        <w:pStyle w:val="6"/>
        <w:spacing w:before="156" w:beforeLines="50" w:after="156" w:afterLines="50" w:line="600" w:lineRule="exact"/>
        <w:jc w:val="center"/>
        <w:rPr>
          <w:rFonts w:hint="eastAsia" w:ascii="黑体" w:hAnsi="黑体" w:eastAsia="黑体" w:cs="黑体"/>
          <w:sz w:val="44"/>
          <w:szCs w:val="44"/>
        </w:rPr>
      </w:pPr>
      <w:r>
        <w:rPr>
          <w:rFonts w:hint="eastAsia" w:ascii="黑体" w:hAnsi="黑体" w:eastAsia="黑体" w:cs="黑体"/>
          <w:sz w:val="44"/>
          <w:szCs w:val="44"/>
        </w:rPr>
        <w:t>2023年度项目支出绩效自评表</w:t>
      </w:r>
    </w:p>
    <w:tbl>
      <w:tblPr>
        <w:tblStyle w:val="16"/>
        <w:tblW w:w="9449" w:type="dxa"/>
        <w:jc w:val="center"/>
        <w:tblLayout w:type="autofit"/>
        <w:tblCellMar>
          <w:top w:w="0" w:type="dxa"/>
          <w:left w:w="57" w:type="dxa"/>
          <w:bottom w:w="0" w:type="dxa"/>
          <w:right w:w="57" w:type="dxa"/>
        </w:tblCellMar>
      </w:tblPr>
      <w:tblGrid>
        <w:gridCol w:w="1025"/>
        <w:gridCol w:w="780"/>
        <w:gridCol w:w="1230"/>
        <w:gridCol w:w="1200"/>
        <w:gridCol w:w="1293"/>
        <w:gridCol w:w="1410"/>
        <w:gridCol w:w="555"/>
        <w:gridCol w:w="810"/>
        <w:gridCol w:w="1146"/>
      </w:tblGrid>
      <w:tr>
        <w:tblPrEx>
          <w:tblCellMar>
            <w:top w:w="0" w:type="dxa"/>
            <w:left w:w="57" w:type="dxa"/>
            <w:bottom w:w="0" w:type="dxa"/>
            <w:right w:w="57" w:type="dxa"/>
          </w:tblCellMar>
        </w:tblPrEx>
        <w:trPr>
          <w:wBefore w:w="0" w:type="auto"/>
          <w:trHeight w:val="385"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项目支出名称</w:t>
            </w:r>
          </w:p>
        </w:tc>
        <w:tc>
          <w:tcPr>
            <w:tcW w:w="8424" w:type="dxa"/>
            <w:gridSpan w:val="8"/>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市老干部大学河东分校场地使用</w:t>
            </w:r>
          </w:p>
        </w:tc>
      </w:tr>
      <w:tr>
        <w:tblPrEx>
          <w:tblCellMar>
            <w:top w:w="0" w:type="dxa"/>
            <w:left w:w="57" w:type="dxa"/>
            <w:bottom w:w="0" w:type="dxa"/>
            <w:right w:w="57" w:type="dxa"/>
          </w:tblCellMar>
        </w:tblPrEx>
        <w:trPr>
          <w:wBefore w:w="0" w:type="auto"/>
          <w:trHeight w:val="305" w:hRule="atLeast"/>
          <w:jc w:val="center"/>
        </w:trPr>
        <w:tc>
          <w:tcPr>
            <w:tcW w:w="1025" w:type="dxa"/>
            <w:tcBorders>
              <w:top w:val="nil"/>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主管部门</w:t>
            </w:r>
          </w:p>
        </w:tc>
        <w:tc>
          <w:tcPr>
            <w:tcW w:w="4503"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共青团长沙市委</w:t>
            </w:r>
          </w:p>
        </w:tc>
        <w:tc>
          <w:tcPr>
            <w:tcW w:w="1410" w:type="dxa"/>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实施单位</w:t>
            </w:r>
          </w:p>
        </w:tc>
        <w:tc>
          <w:tcPr>
            <w:tcW w:w="2511" w:type="dxa"/>
            <w:gridSpan w:val="3"/>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长沙市青少年宫</w:t>
            </w:r>
          </w:p>
        </w:tc>
      </w:tr>
      <w:tr>
        <w:tblPrEx>
          <w:tblCellMar>
            <w:top w:w="0" w:type="dxa"/>
            <w:left w:w="57" w:type="dxa"/>
            <w:bottom w:w="0" w:type="dxa"/>
            <w:right w:w="57" w:type="dxa"/>
          </w:tblCellMar>
        </w:tblPrEx>
        <w:trPr>
          <w:wBefore w:w="0" w:type="auto"/>
          <w:trHeight w:val="23" w:hRule="atLeast"/>
          <w:jc w:val="center"/>
        </w:trPr>
        <w:tc>
          <w:tcPr>
            <w:tcW w:w="1025"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项目资金</w:t>
            </w:r>
          </w:p>
          <w:p>
            <w:pPr>
              <w:pStyle w:val="6"/>
              <w:widowControl/>
              <w:spacing w:line="240" w:lineRule="exact"/>
              <w:jc w:val="center"/>
              <w:rPr>
                <w:color w:val="000000"/>
                <w:szCs w:val="21"/>
              </w:rPr>
            </w:pPr>
            <w:r>
              <w:rPr>
                <w:color w:val="000000"/>
                <w:szCs w:val="21"/>
              </w:rPr>
              <w:t>（万元）</w:t>
            </w:r>
          </w:p>
        </w:tc>
        <w:tc>
          <w:tcPr>
            <w:tcW w:w="201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2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年初</w:t>
            </w:r>
          </w:p>
          <w:p>
            <w:pPr>
              <w:pStyle w:val="6"/>
              <w:widowControl/>
              <w:spacing w:line="240" w:lineRule="exact"/>
              <w:jc w:val="center"/>
              <w:rPr>
                <w:color w:val="000000"/>
                <w:szCs w:val="21"/>
              </w:rPr>
            </w:pPr>
            <w:r>
              <w:rPr>
                <w:color w:val="000000"/>
                <w:szCs w:val="21"/>
              </w:rPr>
              <w:t>预算数</w:t>
            </w:r>
          </w:p>
        </w:tc>
        <w:tc>
          <w:tcPr>
            <w:tcW w:w="129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全年</w:t>
            </w:r>
          </w:p>
          <w:p>
            <w:pPr>
              <w:pStyle w:val="6"/>
              <w:widowControl/>
              <w:spacing w:line="240" w:lineRule="exact"/>
              <w:jc w:val="center"/>
              <w:rPr>
                <w:color w:val="000000"/>
                <w:szCs w:val="21"/>
              </w:rPr>
            </w:pPr>
            <w:r>
              <w:rPr>
                <w:color w:val="000000"/>
                <w:szCs w:val="21"/>
              </w:rPr>
              <w:t>预算数</w:t>
            </w:r>
          </w:p>
        </w:tc>
        <w:tc>
          <w:tcPr>
            <w:tcW w:w="141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全年</w:t>
            </w:r>
          </w:p>
          <w:p>
            <w:pPr>
              <w:pStyle w:val="6"/>
              <w:spacing w:line="240" w:lineRule="exact"/>
              <w:jc w:val="center"/>
              <w:rPr>
                <w:szCs w:val="21"/>
              </w:rPr>
            </w:pPr>
            <w:r>
              <w:rPr>
                <w:szCs w:val="21"/>
              </w:rPr>
              <w:t>执行数</w:t>
            </w:r>
          </w:p>
        </w:tc>
        <w:tc>
          <w:tcPr>
            <w:tcW w:w="555"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分值</w:t>
            </w:r>
          </w:p>
        </w:tc>
        <w:tc>
          <w:tcPr>
            <w:tcW w:w="81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执行率</w:t>
            </w:r>
          </w:p>
        </w:tc>
        <w:tc>
          <w:tcPr>
            <w:tcW w:w="1146"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得分</w:t>
            </w: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1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年度资金总额</w:t>
            </w:r>
          </w:p>
        </w:tc>
        <w:tc>
          <w:tcPr>
            <w:tcW w:w="12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40</w:t>
            </w:r>
          </w:p>
        </w:tc>
        <w:tc>
          <w:tcPr>
            <w:tcW w:w="129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40</w:t>
            </w:r>
          </w:p>
        </w:tc>
        <w:tc>
          <w:tcPr>
            <w:tcW w:w="14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40</w:t>
            </w:r>
          </w:p>
        </w:tc>
        <w:tc>
          <w:tcPr>
            <w:tcW w:w="5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10</w:t>
            </w:r>
          </w:p>
        </w:tc>
        <w:tc>
          <w:tcPr>
            <w:tcW w:w="8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100%</w:t>
            </w:r>
          </w:p>
        </w:tc>
        <w:tc>
          <w:tcPr>
            <w:tcW w:w="1146"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1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其中：当年财政拨款</w:t>
            </w:r>
          </w:p>
        </w:tc>
        <w:tc>
          <w:tcPr>
            <w:tcW w:w="12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40</w:t>
            </w:r>
          </w:p>
        </w:tc>
        <w:tc>
          <w:tcPr>
            <w:tcW w:w="129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40</w:t>
            </w:r>
          </w:p>
        </w:tc>
        <w:tc>
          <w:tcPr>
            <w:tcW w:w="14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40</w:t>
            </w:r>
          </w:p>
        </w:tc>
        <w:tc>
          <w:tcPr>
            <w:tcW w:w="5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146"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10" w:type="dxa"/>
            <w:gridSpan w:val="2"/>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jc w:val="center"/>
              <w:rPr>
                <w:color w:val="000000"/>
                <w:szCs w:val="21"/>
              </w:rPr>
            </w:pPr>
            <w:r>
              <w:rPr>
                <w:color w:val="000000"/>
                <w:szCs w:val="21"/>
              </w:rPr>
              <w:t>上年结转资金</w:t>
            </w:r>
          </w:p>
        </w:tc>
        <w:tc>
          <w:tcPr>
            <w:tcW w:w="12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29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4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5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146"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10" w:type="dxa"/>
            <w:gridSpan w:val="2"/>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jc w:val="center"/>
              <w:rPr>
                <w:color w:val="000000"/>
                <w:szCs w:val="21"/>
              </w:rPr>
            </w:pPr>
            <w:r>
              <w:rPr>
                <w:color w:val="000000"/>
                <w:szCs w:val="21"/>
              </w:rPr>
              <w:t>其他资金</w:t>
            </w:r>
          </w:p>
        </w:tc>
        <w:tc>
          <w:tcPr>
            <w:tcW w:w="12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29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4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5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146"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auto"/>
          <w:trHeight w:val="23" w:hRule="atLeast"/>
          <w:jc w:val="center"/>
        </w:trPr>
        <w:tc>
          <w:tcPr>
            <w:tcW w:w="1025"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年度总体目标</w:t>
            </w:r>
          </w:p>
        </w:tc>
        <w:tc>
          <w:tcPr>
            <w:tcW w:w="4503" w:type="dxa"/>
            <w:gridSpan w:val="4"/>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年度目标</w:t>
            </w:r>
          </w:p>
        </w:tc>
        <w:tc>
          <w:tcPr>
            <w:tcW w:w="3921"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实际完成情况</w:t>
            </w:r>
          </w:p>
        </w:tc>
      </w:tr>
      <w:tr>
        <w:tblPrEx>
          <w:tblCellMar>
            <w:top w:w="0" w:type="dxa"/>
            <w:left w:w="57" w:type="dxa"/>
            <w:bottom w:w="0" w:type="dxa"/>
            <w:right w:w="57" w:type="dxa"/>
          </w:tblCellMar>
        </w:tblPrEx>
        <w:trPr>
          <w:wBefore w:w="0" w:type="auto"/>
          <w:trHeight w:val="1357" w:hRule="atLeast"/>
          <w:jc w:val="center"/>
        </w:trPr>
        <w:tc>
          <w:tcPr>
            <w:tcW w:w="1025"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4503" w:type="dxa"/>
            <w:gridSpan w:val="4"/>
            <w:tcBorders>
              <w:top w:val="single" w:color="auto" w:sz="4" w:space="0"/>
              <w:left w:val="nil"/>
              <w:bottom w:val="single" w:color="auto" w:sz="4" w:space="0"/>
              <w:right w:val="single" w:color="000000" w:sz="4" w:space="0"/>
            </w:tcBorders>
            <w:noWrap w:val="0"/>
            <w:vAlign w:val="center"/>
          </w:tcPr>
          <w:p>
            <w:pPr>
              <w:pStyle w:val="6"/>
              <w:widowControl/>
              <w:spacing w:line="22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市老干局开办的老干部大学河东分 校租用了我宫部分教室作为办学使用，所用水费、 电费等由市财政通 过预算指标的方式直接拨付至长沙 市青少年宫，用于我宫办班教学及 场馆运营的一般日常经费使用，青少年宫负责提供老干部大学教学所需的场地、水电等，场地设施等可 正常运营</w:t>
            </w:r>
          </w:p>
        </w:tc>
        <w:tc>
          <w:tcPr>
            <w:tcW w:w="3921" w:type="dxa"/>
            <w:gridSpan w:val="4"/>
            <w:tcBorders>
              <w:top w:val="single" w:color="auto" w:sz="4" w:space="0"/>
              <w:left w:val="nil"/>
              <w:bottom w:val="single" w:color="auto" w:sz="4" w:space="0"/>
              <w:right w:val="single" w:color="auto" w:sz="4" w:space="0"/>
            </w:tcBorders>
            <w:noWrap w:val="0"/>
            <w:vAlign w:val="center"/>
          </w:tcPr>
          <w:p>
            <w:pPr>
              <w:pStyle w:val="6"/>
              <w:widowControl/>
              <w:spacing w:line="220" w:lineRule="exact"/>
              <w:jc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市老干局开办的老干部大学河东分 校租用了我宫部分教室作为办学使 用，所用水费、 电费等由市财政通 过预算指标的方式直接拨付至长沙市青少年宫，用于我宫办班教学及场馆运营的一般日常经费使用，青少年宫提供了老干部大学河东分校所需的场地、水电等，设备设施可正常运行</w:t>
            </w:r>
          </w:p>
        </w:tc>
      </w:tr>
      <w:tr>
        <w:tblPrEx>
          <w:tblCellMar>
            <w:top w:w="0" w:type="dxa"/>
            <w:left w:w="57" w:type="dxa"/>
            <w:bottom w:w="0" w:type="dxa"/>
            <w:right w:w="57" w:type="dxa"/>
          </w:tblCellMar>
        </w:tblPrEx>
        <w:trPr>
          <w:wBefore w:w="0" w:type="auto"/>
          <w:trHeight w:val="90" w:hRule="atLeast"/>
          <w:jc w:val="center"/>
        </w:trPr>
        <w:tc>
          <w:tcPr>
            <w:tcW w:w="1025" w:type="dxa"/>
            <w:vMerge w:val="restart"/>
            <w:tcBorders>
              <w:top w:val="nil"/>
              <w:left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绩</w:t>
            </w:r>
          </w:p>
          <w:p>
            <w:pPr>
              <w:pStyle w:val="6"/>
              <w:widowControl/>
              <w:spacing w:line="240" w:lineRule="exact"/>
              <w:jc w:val="center"/>
              <w:rPr>
                <w:color w:val="000000"/>
                <w:szCs w:val="21"/>
              </w:rPr>
            </w:pPr>
            <w:r>
              <w:rPr>
                <w:color w:val="000000"/>
                <w:szCs w:val="21"/>
              </w:rPr>
              <w:t>效</w:t>
            </w:r>
          </w:p>
          <w:p>
            <w:pPr>
              <w:pStyle w:val="6"/>
              <w:widowControl/>
              <w:spacing w:line="240" w:lineRule="exact"/>
              <w:jc w:val="center"/>
              <w:rPr>
                <w:color w:val="000000"/>
                <w:szCs w:val="21"/>
              </w:rPr>
            </w:pPr>
            <w:r>
              <w:rPr>
                <w:color w:val="000000"/>
                <w:szCs w:val="21"/>
              </w:rPr>
              <w:t>指</w:t>
            </w:r>
          </w:p>
          <w:p>
            <w:pPr>
              <w:pStyle w:val="6"/>
              <w:widowControl/>
              <w:spacing w:line="240" w:lineRule="exact"/>
              <w:jc w:val="center"/>
              <w:rPr>
                <w:color w:val="000000"/>
                <w:szCs w:val="21"/>
              </w:rPr>
            </w:pPr>
            <w:r>
              <w:rPr>
                <w:color w:val="000000"/>
                <w:szCs w:val="21"/>
              </w:rPr>
              <w:t>标</w:t>
            </w:r>
          </w:p>
        </w:tc>
        <w:tc>
          <w:tcPr>
            <w:tcW w:w="78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一级</w:t>
            </w:r>
          </w:p>
          <w:p>
            <w:pPr>
              <w:pStyle w:val="6"/>
              <w:widowControl/>
              <w:spacing w:line="240" w:lineRule="exact"/>
              <w:jc w:val="center"/>
              <w:rPr>
                <w:color w:val="000000"/>
                <w:szCs w:val="21"/>
              </w:rPr>
            </w:pPr>
            <w:r>
              <w:rPr>
                <w:color w:val="000000"/>
                <w:szCs w:val="21"/>
              </w:rPr>
              <w:t>指标</w:t>
            </w:r>
          </w:p>
        </w:tc>
        <w:tc>
          <w:tcPr>
            <w:tcW w:w="123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二级</w:t>
            </w:r>
          </w:p>
          <w:p>
            <w:pPr>
              <w:pStyle w:val="6"/>
              <w:widowControl/>
              <w:spacing w:line="240" w:lineRule="exact"/>
              <w:jc w:val="center"/>
              <w:rPr>
                <w:color w:val="000000"/>
                <w:szCs w:val="21"/>
              </w:rPr>
            </w:pPr>
            <w:r>
              <w:rPr>
                <w:color w:val="000000"/>
                <w:szCs w:val="21"/>
              </w:rPr>
              <w:t>指标</w:t>
            </w:r>
          </w:p>
        </w:tc>
        <w:tc>
          <w:tcPr>
            <w:tcW w:w="12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三级指标内容</w:t>
            </w:r>
          </w:p>
        </w:tc>
        <w:tc>
          <w:tcPr>
            <w:tcW w:w="129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w:t>
            </w:r>
          </w:p>
          <w:p>
            <w:pPr>
              <w:pStyle w:val="6"/>
              <w:widowControl/>
              <w:spacing w:line="240" w:lineRule="exact"/>
              <w:jc w:val="center"/>
              <w:rPr>
                <w:color w:val="000000"/>
                <w:szCs w:val="21"/>
              </w:rPr>
            </w:pPr>
            <w:r>
              <w:rPr>
                <w:color w:val="000000"/>
                <w:szCs w:val="21"/>
              </w:rPr>
              <w:t>指标值</w:t>
            </w:r>
          </w:p>
        </w:tc>
        <w:tc>
          <w:tcPr>
            <w:tcW w:w="14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w:t>
            </w:r>
          </w:p>
          <w:p>
            <w:pPr>
              <w:pStyle w:val="6"/>
              <w:widowControl/>
              <w:spacing w:line="240" w:lineRule="exact"/>
              <w:jc w:val="center"/>
              <w:rPr>
                <w:color w:val="000000"/>
                <w:szCs w:val="21"/>
              </w:rPr>
            </w:pPr>
            <w:r>
              <w:rPr>
                <w:color w:val="000000"/>
                <w:szCs w:val="21"/>
              </w:rPr>
              <w:t>完成值</w:t>
            </w:r>
          </w:p>
        </w:tc>
        <w:tc>
          <w:tcPr>
            <w:tcW w:w="5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分值</w:t>
            </w:r>
          </w:p>
        </w:tc>
        <w:tc>
          <w:tcPr>
            <w:tcW w:w="8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得分</w:t>
            </w:r>
          </w:p>
        </w:tc>
        <w:tc>
          <w:tcPr>
            <w:tcW w:w="1146"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偏差原因分析及</w:t>
            </w:r>
          </w:p>
          <w:p>
            <w:pPr>
              <w:pStyle w:val="6"/>
              <w:widowControl/>
              <w:spacing w:line="240" w:lineRule="exact"/>
              <w:jc w:val="center"/>
              <w:rPr>
                <w:color w:val="000000"/>
                <w:szCs w:val="21"/>
              </w:rPr>
            </w:pPr>
            <w:r>
              <w:rPr>
                <w:color w:val="000000"/>
                <w:szCs w:val="21"/>
              </w:rPr>
              <w:t>改进措施</w:t>
            </w: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vMerge w:val="restart"/>
            <w:tcBorders>
              <w:top w:val="nil"/>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成本</w:t>
            </w:r>
          </w:p>
          <w:p>
            <w:pPr>
              <w:pStyle w:val="6"/>
              <w:widowControl/>
              <w:spacing w:line="240" w:lineRule="exact"/>
              <w:jc w:val="center"/>
              <w:rPr>
                <w:color w:val="000000"/>
                <w:szCs w:val="21"/>
              </w:rPr>
            </w:pPr>
            <w:r>
              <w:rPr>
                <w:color w:val="000000"/>
                <w:szCs w:val="21"/>
              </w:rPr>
              <w:t>指标</w:t>
            </w:r>
          </w:p>
        </w:tc>
        <w:tc>
          <w:tcPr>
            <w:tcW w:w="1230" w:type="dxa"/>
            <w:tcBorders>
              <w:top w:val="nil"/>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经济成本</w:t>
            </w:r>
          </w:p>
          <w:p>
            <w:pPr>
              <w:pStyle w:val="6"/>
              <w:widowControl/>
              <w:spacing w:line="240" w:lineRule="exact"/>
              <w:jc w:val="center"/>
              <w:rPr>
                <w:color w:val="000000"/>
                <w:szCs w:val="21"/>
              </w:rPr>
            </w:pPr>
            <w:r>
              <w:rPr>
                <w:color w:val="000000"/>
                <w:szCs w:val="21"/>
              </w:rPr>
              <w:t>指标</w:t>
            </w:r>
          </w:p>
        </w:tc>
        <w:tc>
          <w:tcPr>
            <w:tcW w:w="1200" w:type="dxa"/>
            <w:tcBorders>
              <w:top w:val="nil"/>
              <w:left w:val="nil"/>
              <w:bottom w:val="single" w:color="auto" w:sz="4" w:space="0"/>
              <w:right w:val="single" w:color="auto" w:sz="4" w:space="0"/>
            </w:tcBorders>
            <w:noWrap w:val="0"/>
            <w:vAlign w:val="center"/>
          </w:tcPr>
          <w:p>
            <w:pPr>
              <w:pStyle w:val="6"/>
              <w:widowControl/>
              <w:tabs>
                <w:tab w:val="left" w:pos="266"/>
              </w:tabs>
              <w:spacing w:line="200" w:lineRule="exact"/>
              <w:jc w:val="center"/>
              <w:rPr>
                <w:rFonts w:hint="eastAsia" w:ascii="宋体" w:hAnsi="宋体" w:cs="宋体"/>
                <w:color w:val="000000"/>
                <w:sz w:val="18"/>
                <w:szCs w:val="18"/>
              </w:rPr>
            </w:pPr>
            <w:r>
              <w:rPr>
                <w:rFonts w:hint="eastAsia" w:ascii="宋体" w:hAnsi="宋体" w:cs="宋体"/>
                <w:sz w:val="18"/>
                <w:szCs w:val="18"/>
              </w:rPr>
              <w:t>市老干部大学河东分校场地使用 费40万元</w:t>
            </w:r>
          </w:p>
        </w:tc>
        <w:tc>
          <w:tcPr>
            <w:tcW w:w="1293"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市老干部大学河东分校场地 使用费40万元</w:t>
            </w:r>
          </w:p>
        </w:tc>
        <w:tc>
          <w:tcPr>
            <w:tcW w:w="1410"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市老干部大学河东分校场地 使用费40万元</w:t>
            </w:r>
          </w:p>
        </w:tc>
        <w:tc>
          <w:tcPr>
            <w:tcW w:w="555"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810"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146"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766"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vMerge w:val="continue"/>
            <w:tcBorders>
              <w:left w:val="nil"/>
              <w:right w:val="single" w:color="auto" w:sz="4" w:space="0"/>
            </w:tcBorders>
            <w:noWrap w:val="0"/>
            <w:vAlign w:val="center"/>
          </w:tcPr>
          <w:p>
            <w:pPr>
              <w:pStyle w:val="6"/>
              <w:widowControl/>
              <w:spacing w:line="240" w:lineRule="exact"/>
              <w:jc w:val="center"/>
              <w:rPr>
                <w:color w:val="000000"/>
                <w:szCs w:val="21"/>
              </w:rPr>
            </w:pPr>
          </w:p>
        </w:tc>
        <w:tc>
          <w:tcPr>
            <w:tcW w:w="1230" w:type="dxa"/>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社会成本</w:t>
            </w:r>
          </w:p>
          <w:p>
            <w:pPr>
              <w:pStyle w:val="6"/>
              <w:widowControl/>
              <w:spacing w:line="240" w:lineRule="exact"/>
              <w:jc w:val="center"/>
              <w:rPr>
                <w:color w:val="000000"/>
                <w:szCs w:val="21"/>
              </w:rPr>
            </w:pPr>
            <w:r>
              <w:rPr>
                <w:color w:val="000000"/>
                <w:szCs w:val="21"/>
              </w:rPr>
              <w:t>指标</w:t>
            </w:r>
          </w:p>
        </w:tc>
        <w:tc>
          <w:tcPr>
            <w:tcW w:w="1200"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市老干部大学河 东分校场地使用费40万元</w:t>
            </w:r>
          </w:p>
        </w:tc>
        <w:tc>
          <w:tcPr>
            <w:tcW w:w="1293"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 河东分校场地 使用费40万元</w:t>
            </w:r>
          </w:p>
        </w:tc>
        <w:tc>
          <w:tcPr>
            <w:tcW w:w="1410"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 河东分校场地 使用费40万元</w:t>
            </w:r>
          </w:p>
        </w:tc>
        <w:tc>
          <w:tcPr>
            <w:tcW w:w="555"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810"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146"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vMerge w:val="continue"/>
            <w:tcBorders>
              <w:left w:val="nil"/>
              <w:right w:val="single" w:color="auto" w:sz="4" w:space="0"/>
            </w:tcBorders>
            <w:noWrap w:val="0"/>
            <w:vAlign w:val="center"/>
          </w:tcPr>
          <w:p>
            <w:pPr>
              <w:pStyle w:val="6"/>
              <w:widowControl/>
              <w:spacing w:line="240" w:lineRule="exact"/>
              <w:jc w:val="center"/>
              <w:rPr>
                <w:color w:val="000000"/>
                <w:szCs w:val="21"/>
              </w:rPr>
            </w:pPr>
          </w:p>
        </w:tc>
        <w:tc>
          <w:tcPr>
            <w:tcW w:w="123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生态环境成本指标</w:t>
            </w:r>
          </w:p>
        </w:tc>
        <w:tc>
          <w:tcPr>
            <w:tcW w:w="1200"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保护生态环境， 节约用水、用电</w:t>
            </w:r>
          </w:p>
        </w:tc>
        <w:tc>
          <w:tcPr>
            <w:tcW w:w="1293"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保护生态环</w:t>
            </w:r>
          </w:p>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境，节约用</w:t>
            </w:r>
          </w:p>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水、用电</w:t>
            </w:r>
          </w:p>
        </w:tc>
        <w:tc>
          <w:tcPr>
            <w:tcW w:w="1410"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保护生态环</w:t>
            </w:r>
          </w:p>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境，节约用</w:t>
            </w:r>
          </w:p>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水、用电</w:t>
            </w:r>
          </w:p>
        </w:tc>
        <w:tc>
          <w:tcPr>
            <w:tcW w:w="555"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810"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146" w:type="dxa"/>
            <w:tcBorders>
              <w:top w:val="nil"/>
              <w:left w:val="nil"/>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vMerge w:val="restart"/>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产出</w:t>
            </w:r>
          </w:p>
          <w:p>
            <w:pPr>
              <w:pStyle w:val="6"/>
              <w:widowControl/>
              <w:spacing w:line="240" w:lineRule="exact"/>
              <w:jc w:val="center"/>
              <w:rPr>
                <w:color w:val="000000"/>
                <w:szCs w:val="21"/>
              </w:rPr>
            </w:pPr>
            <w:r>
              <w:rPr>
                <w:color w:val="000000"/>
                <w:szCs w:val="21"/>
              </w:rPr>
              <w:t>指标</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数量指标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市老干部大学河 东分校场地使用 费40万元</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 河东分校场地 使用费40万元</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 河东分校场地 使用费40万元</w:t>
            </w: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vMerge w:val="continue"/>
            <w:tcBorders>
              <w:left w:val="nil"/>
              <w:right w:val="single" w:color="auto" w:sz="4" w:space="0"/>
            </w:tcBorders>
            <w:noWrap w:val="0"/>
            <w:vAlign w:val="center"/>
          </w:tcPr>
          <w:p>
            <w:pPr>
              <w:pStyle w:val="6"/>
              <w:spacing w:line="240" w:lineRule="exact"/>
              <w:jc w:val="center"/>
              <w:rPr>
                <w:color w:val="000000"/>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质量指标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提供舒适的教学 环境</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提供舒适的教学 环境</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提供舒适的教学 环境</w:t>
            </w: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vMerge w:val="continue"/>
            <w:tcBorders>
              <w:left w:val="nil"/>
              <w:right w:val="single" w:color="auto" w:sz="4" w:space="0"/>
            </w:tcBorders>
            <w:noWrap w:val="0"/>
            <w:vAlign w:val="center"/>
          </w:tcPr>
          <w:p>
            <w:pPr>
              <w:pStyle w:val="6"/>
              <w:spacing w:line="240" w:lineRule="exact"/>
              <w:jc w:val="center"/>
              <w:rPr>
                <w:color w:val="000000"/>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时效指标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2023年1月至2023 年12月</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2023年1月至2023 年12月</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2023年1月至2023 年12月</w:t>
            </w: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vMerge w:val="restart"/>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效益</w:t>
            </w:r>
          </w:p>
          <w:p>
            <w:pPr>
              <w:pStyle w:val="6"/>
              <w:widowControl/>
              <w:spacing w:line="240" w:lineRule="exact"/>
              <w:jc w:val="center"/>
              <w:rPr>
                <w:color w:val="000000"/>
                <w:szCs w:val="21"/>
              </w:rPr>
            </w:pPr>
            <w:r>
              <w:rPr>
                <w:color w:val="000000"/>
                <w:szCs w:val="21"/>
              </w:rPr>
              <w:t>指标</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经济效益</w:t>
            </w:r>
          </w:p>
          <w:p>
            <w:pPr>
              <w:pStyle w:val="6"/>
              <w:widowControl/>
              <w:spacing w:line="240" w:lineRule="exact"/>
              <w:jc w:val="center"/>
              <w:rPr>
                <w:color w:val="000000"/>
                <w:szCs w:val="21"/>
              </w:rPr>
            </w:pPr>
            <w:r>
              <w:rPr>
                <w:color w:val="000000"/>
                <w:szCs w:val="21"/>
              </w:rPr>
              <w:t>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市老干部大学河 东分校场地使用 费40万元</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市老干部大学河 东分校场地使用 费40万元</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市老干部大学河 东分校场地使用 费40万元</w:t>
            </w: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pPr>
              <w:pStyle w:val="6"/>
              <w:spacing w:line="240" w:lineRule="exact"/>
              <w:jc w:val="center"/>
              <w:rPr>
                <w:color w:val="000000"/>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社会效益</w:t>
            </w:r>
          </w:p>
          <w:p>
            <w:pPr>
              <w:pStyle w:val="6"/>
              <w:widowControl/>
              <w:spacing w:line="240" w:lineRule="exact"/>
              <w:jc w:val="center"/>
              <w:rPr>
                <w:color w:val="000000"/>
                <w:szCs w:val="21"/>
              </w:rPr>
            </w:pPr>
            <w:r>
              <w:rPr>
                <w:color w:val="000000"/>
                <w:szCs w:val="21"/>
              </w:rPr>
              <w:t>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让广大退休职工 在闲暇时间充实 自我</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让广大退休职工在闲暇时间充实自我</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让广大退休职工在闲暇时间充实自我</w:t>
            </w: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23"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vMerge w:val="continue"/>
            <w:tcBorders>
              <w:top w:val="single" w:color="auto" w:sz="4" w:space="0"/>
              <w:left w:val="nil"/>
              <w:bottom w:val="single" w:color="auto" w:sz="4" w:space="0"/>
              <w:right w:val="single" w:color="auto" w:sz="4" w:space="0"/>
            </w:tcBorders>
            <w:noWrap w:val="0"/>
            <w:vAlign w:val="center"/>
          </w:tcPr>
          <w:p>
            <w:pPr>
              <w:pStyle w:val="6"/>
              <w:spacing w:line="240" w:lineRule="exact"/>
              <w:jc w:val="center"/>
              <w:rPr>
                <w:color w:val="000000"/>
                <w:szCs w:val="21"/>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环境效益</w:t>
            </w:r>
          </w:p>
          <w:p>
            <w:pPr>
              <w:pStyle w:val="6"/>
              <w:widowControl/>
              <w:spacing w:line="240" w:lineRule="exact"/>
              <w:jc w:val="center"/>
              <w:rPr>
                <w:color w:val="000000"/>
                <w:szCs w:val="21"/>
              </w:rPr>
            </w:pPr>
            <w:r>
              <w:rPr>
                <w:color w:val="000000"/>
                <w:szCs w:val="21"/>
              </w:rPr>
              <w:t>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让退休职工生活 丰富多彩</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让退休职工生活丰富多彩</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sz w:val="18"/>
                <w:szCs w:val="18"/>
              </w:rPr>
              <w:t>让退休职工生活丰富多彩</w:t>
            </w: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hint="eastAsia" w:ascii="宋体" w:hAnsi="宋体" w:cs="宋体"/>
                <w:color w:val="000000"/>
                <w:sz w:val="18"/>
                <w:szCs w:val="18"/>
              </w:rPr>
              <w:t>5</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1288" w:hRule="atLeast"/>
          <w:jc w:val="center"/>
        </w:trPr>
        <w:tc>
          <w:tcPr>
            <w:tcW w:w="1025"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8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满意度指标</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服务对象</w:t>
            </w:r>
          </w:p>
          <w:p>
            <w:pPr>
              <w:pStyle w:val="6"/>
              <w:widowControl/>
              <w:spacing w:line="240" w:lineRule="exact"/>
              <w:jc w:val="center"/>
              <w:rPr>
                <w:color w:val="000000"/>
                <w:szCs w:val="21"/>
              </w:rPr>
            </w:pPr>
            <w:r>
              <w:rPr>
                <w:color w:val="000000"/>
                <w:szCs w:val="21"/>
              </w:rPr>
              <w:t>满意度指标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ascii="宋体" w:hAnsi="宋体" w:cs="宋体"/>
                <w:sz w:val="18"/>
                <w:szCs w:val="18"/>
              </w:rPr>
              <w:t>让参加培训活动 的学员满意</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ascii="宋体" w:hAnsi="宋体" w:cs="宋体"/>
                <w:sz w:val="18"/>
                <w:szCs w:val="18"/>
              </w:rPr>
              <w:t>参加培训活动学员对青少年 宫提供的教学环境满意度达 80%</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8"/>
                <w:szCs w:val="18"/>
              </w:rPr>
            </w:pPr>
            <w:r>
              <w:rPr>
                <w:rFonts w:ascii="宋体" w:hAnsi="宋体" w:cs="宋体"/>
                <w:sz w:val="18"/>
                <w:szCs w:val="18"/>
              </w:rPr>
              <w:t>参加培训活动学员对青少年宫提供的教学 环境满意度达 80%</w:t>
            </w:r>
          </w:p>
        </w:tc>
        <w:tc>
          <w:tcPr>
            <w:tcW w:w="555" w:type="dxa"/>
            <w:tcBorders>
              <w:top w:val="single" w:color="auto" w:sz="4" w:space="0"/>
              <w:left w:val="single" w:color="auto" w:sz="4" w:space="0"/>
              <w:bottom w:val="single" w:color="auto" w:sz="4" w:space="0"/>
              <w:right w:val="single" w:color="auto" w:sz="4" w:space="0"/>
            </w:tcBorders>
            <w:noWrap w:val="0"/>
            <w:vAlign w:val="center"/>
          </w:tcPr>
          <w:p>
            <w:pPr>
              <w:pStyle w:val="6"/>
              <w:widowControl/>
              <w:tabs>
                <w:tab w:val="left" w:pos="239"/>
              </w:tabs>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00" w:lineRule="exact"/>
              <w:jc w:val="center"/>
              <w:rPr>
                <w:rFonts w:hint="eastAsia" w:ascii="宋体" w:hAnsi="宋体" w:cs="宋体"/>
                <w:color w:val="000000"/>
                <w:sz w:val="13"/>
                <w:szCs w:val="13"/>
              </w:rPr>
            </w:pPr>
          </w:p>
        </w:tc>
      </w:tr>
      <w:tr>
        <w:tblPrEx>
          <w:tblCellMar>
            <w:top w:w="0" w:type="dxa"/>
            <w:left w:w="57" w:type="dxa"/>
            <w:bottom w:w="0" w:type="dxa"/>
            <w:right w:w="57" w:type="dxa"/>
          </w:tblCellMar>
        </w:tblPrEx>
        <w:trPr>
          <w:wBefore w:w="0" w:type="auto"/>
          <w:trHeight w:val="336" w:hRule="atLeast"/>
          <w:jc w:val="center"/>
        </w:trPr>
        <w:tc>
          <w:tcPr>
            <w:tcW w:w="6938" w:type="dxa"/>
            <w:gridSpan w:val="6"/>
            <w:tcBorders>
              <w:top w:val="single" w:color="auto" w:sz="4" w:space="0"/>
              <w:left w:val="single" w:color="auto" w:sz="4" w:space="0"/>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总  分</w:t>
            </w:r>
          </w:p>
        </w:tc>
        <w:tc>
          <w:tcPr>
            <w:tcW w:w="5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100</w:t>
            </w:r>
          </w:p>
        </w:tc>
        <w:tc>
          <w:tcPr>
            <w:tcW w:w="81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100</w:t>
            </w:r>
          </w:p>
        </w:tc>
        <w:tc>
          <w:tcPr>
            <w:tcW w:w="1146"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bl>
    <w:p>
      <w:pPr>
        <w:pStyle w:val="6"/>
        <w:spacing w:before="156" w:beforeLines="50" w:after="156" w:afterLines="50" w:line="600" w:lineRule="exact"/>
        <w:jc w:val="center"/>
        <w:rPr>
          <w:rFonts w:hint="eastAsia" w:ascii="黑体" w:hAnsi="黑体" w:eastAsia="黑体" w:cs="黑体"/>
          <w:sz w:val="44"/>
          <w:szCs w:val="44"/>
        </w:rPr>
      </w:pPr>
      <w:r>
        <w:rPr>
          <w:rFonts w:hint="eastAsia" w:ascii="黑体" w:hAnsi="黑体" w:eastAsia="黑体" w:cs="黑体"/>
          <w:sz w:val="44"/>
          <w:szCs w:val="44"/>
        </w:rPr>
        <w:t>2023年度项目支出绩效自评表</w:t>
      </w:r>
    </w:p>
    <w:tbl>
      <w:tblPr>
        <w:tblStyle w:val="16"/>
        <w:tblW w:w="10465" w:type="dxa"/>
        <w:jc w:val="center"/>
        <w:tblLayout w:type="autofit"/>
        <w:tblCellMar>
          <w:top w:w="0" w:type="dxa"/>
          <w:left w:w="57" w:type="dxa"/>
          <w:bottom w:w="0" w:type="dxa"/>
          <w:right w:w="57" w:type="dxa"/>
        </w:tblCellMar>
      </w:tblPr>
      <w:tblGrid>
        <w:gridCol w:w="1353"/>
        <w:gridCol w:w="1038"/>
        <w:gridCol w:w="1305"/>
        <w:gridCol w:w="1260"/>
        <w:gridCol w:w="1231"/>
        <w:gridCol w:w="1550"/>
        <w:gridCol w:w="534"/>
        <w:gridCol w:w="700"/>
        <w:gridCol w:w="1494"/>
      </w:tblGrid>
      <w:tr>
        <w:trPr>
          <w:wBefore w:w="0" w:type="auto"/>
          <w:trHeight w:val="385"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项目支出名称</w:t>
            </w:r>
          </w:p>
        </w:tc>
        <w:tc>
          <w:tcPr>
            <w:tcW w:w="9112" w:type="dxa"/>
            <w:gridSpan w:val="8"/>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ascii="宋体" w:hAnsi="宋体" w:cs="宋体"/>
                <w:sz w:val="18"/>
                <w:szCs w:val="18"/>
              </w:rPr>
              <w:t>长沙市小杜鹃艺术实验学校</w:t>
            </w:r>
          </w:p>
        </w:tc>
      </w:tr>
      <w:tr>
        <w:trPr>
          <w:wBefore w:w="0" w:type="auto"/>
          <w:trHeight w:val="305" w:hRule="atLeast"/>
          <w:jc w:val="center"/>
        </w:trPr>
        <w:tc>
          <w:tcPr>
            <w:tcW w:w="1353" w:type="dxa"/>
            <w:tcBorders>
              <w:top w:val="nil"/>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主管部门</w:t>
            </w:r>
          </w:p>
        </w:tc>
        <w:tc>
          <w:tcPr>
            <w:tcW w:w="4834"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长沙市青少年宫</w:t>
            </w:r>
          </w:p>
        </w:tc>
        <w:tc>
          <w:tcPr>
            <w:tcW w:w="1550" w:type="dxa"/>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实施单位</w:t>
            </w:r>
          </w:p>
        </w:tc>
        <w:tc>
          <w:tcPr>
            <w:tcW w:w="2728" w:type="dxa"/>
            <w:gridSpan w:val="3"/>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ascii="宋体" w:hAnsi="宋体" w:cs="宋体"/>
                <w:sz w:val="18"/>
                <w:szCs w:val="18"/>
              </w:rPr>
              <w:t>长沙市小杜鹃艺术实验学校</w:t>
            </w:r>
          </w:p>
        </w:tc>
      </w:tr>
      <w:tr>
        <w:trPr>
          <w:wBefore w:w="0" w:type="auto"/>
          <w:trHeight w:val="23" w:hRule="atLeast"/>
          <w:jc w:val="center"/>
        </w:trPr>
        <w:tc>
          <w:tcPr>
            <w:tcW w:w="1353"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项目资金</w:t>
            </w:r>
          </w:p>
          <w:p>
            <w:pPr>
              <w:pStyle w:val="6"/>
              <w:widowControl/>
              <w:spacing w:line="240" w:lineRule="exact"/>
              <w:jc w:val="center"/>
              <w:rPr>
                <w:color w:val="000000"/>
                <w:szCs w:val="21"/>
              </w:rPr>
            </w:pPr>
            <w:r>
              <w:rPr>
                <w:color w:val="000000"/>
                <w:szCs w:val="21"/>
              </w:rPr>
              <w:t>（万元）</w:t>
            </w:r>
          </w:p>
        </w:tc>
        <w:tc>
          <w:tcPr>
            <w:tcW w:w="2343"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2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年初</w:t>
            </w:r>
          </w:p>
          <w:p>
            <w:pPr>
              <w:pStyle w:val="6"/>
              <w:widowControl/>
              <w:spacing w:line="240" w:lineRule="exact"/>
              <w:jc w:val="center"/>
              <w:rPr>
                <w:color w:val="000000"/>
                <w:szCs w:val="21"/>
              </w:rPr>
            </w:pPr>
            <w:r>
              <w:rPr>
                <w:color w:val="000000"/>
                <w:szCs w:val="21"/>
              </w:rPr>
              <w:t>预算数</w:t>
            </w:r>
          </w:p>
        </w:tc>
        <w:tc>
          <w:tcPr>
            <w:tcW w:w="1231"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全年</w:t>
            </w:r>
          </w:p>
          <w:p>
            <w:pPr>
              <w:pStyle w:val="6"/>
              <w:widowControl/>
              <w:spacing w:line="240" w:lineRule="exact"/>
              <w:jc w:val="center"/>
              <w:rPr>
                <w:color w:val="000000"/>
                <w:szCs w:val="21"/>
              </w:rPr>
            </w:pPr>
            <w:r>
              <w:rPr>
                <w:color w:val="000000"/>
                <w:szCs w:val="21"/>
              </w:rPr>
              <w:t>预算数</w:t>
            </w:r>
          </w:p>
        </w:tc>
        <w:tc>
          <w:tcPr>
            <w:tcW w:w="155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全年</w:t>
            </w:r>
          </w:p>
          <w:p>
            <w:pPr>
              <w:pStyle w:val="6"/>
              <w:spacing w:line="240" w:lineRule="exact"/>
              <w:jc w:val="center"/>
              <w:rPr>
                <w:szCs w:val="21"/>
              </w:rPr>
            </w:pPr>
            <w:r>
              <w:rPr>
                <w:szCs w:val="21"/>
              </w:rPr>
              <w:t>执行数</w:t>
            </w:r>
          </w:p>
        </w:tc>
        <w:tc>
          <w:tcPr>
            <w:tcW w:w="534"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分值</w:t>
            </w:r>
          </w:p>
        </w:tc>
        <w:tc>
          <w:tcPr>
            <w:tcW w:w="70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执行率</w:t>
            </w:r>
          </w:p>
        </w:tc>
        <w:tc>
          <w:tcPr>
            <w:tcW w:w="1494"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得分</w:t>
            </w:r>
          </w:p>
        </w:tc>
      </w:tr>
      <w:tr>
        <w:trPr>
          <w:wBefore w:w="0" w:type="auto"/>
          <w:trHeight w:val="23" w:hRule="atLeast"/>
          <w:jc w:val="center"/>
        </w:trPr>
        <w:tc>
          <w:tcPr>
            <w:tcW w:w="1353"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343"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年度资金总额</w:t>
            </w:r>
          </w:p>
        </w:tc>
        <w:tc>
          <w:tcPr>
            <w:tcW w:w="12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ascii="宋体" w:hAnsi="宋体" w:cs="宋体"/>
                <w:sz w:val="18"/>
                <w:szCs w:val="18"/>
              </w:rPr>
              <w:t>200</w:t>
            </w:r>
          </w:p>
        </w:tc>
        <w:tc>
          <w:tcPr>
            <w:tcW w:w="1231"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ascii="宋体" w:hAnsi="宋体" w:cs="宋体"/>
                <w:sz w:val="18"/>
                <w:szCs w:val="18"/>
              </w:rPr>
              <w:t>200</w:t>
            </w:r>
          </w:p>
        </w:tc>
        <w:tc>
          <w:tcPr>
            <w:tcW w:w="1550" w:type="dxa"/>
            <w:tcBorders>
              <w:top w:val="nil"/>
              <w:left w:val="nil"/>
              <w:bottom w:val="single" w:color="auto" w:sz="4" w:space="0"/>
              <w:right w:val="single" w:color="auto" w:sz="4" w:space="0"/>
            </w:tcBorders>
            <w:noWrap w:val="0"/>
            <w:vAlign w:val="center"/>
          </w:tcPr>
          <w:p>
            <w:pPr>
              <w:pStyle w:val="6"/>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196.45</w:t>
            </w:r>
          </w:p>
        </w:tc>
        <w:tc>
          <w:tcPr>
            <w:tcW w:w="53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10</w:t>
            </w:r>
          </w:p>
        </w:tc>
        <w:tc>
          <w:tcPr>
            <w:tcW w:w="700" w:type="dxa"/>
            <w:tcBorders>
              <w:top w:val="nil"/>
              <w:left w:val="nil"/>
              <w:bottom w:val="single" w:color="auto" w:sz="4" w:space="0"/>
              <w:right w:val="single" w:color="auto" w:sz="4" w:space="0"/>
            </w:tcBorders>
            <w:noWrap w:val="0"/>
            <w:vAlign w:val="center"/>
          </w:tcPr>
          <w:p>
            <w:pPr>
              <w:pStyle w:val="6"/>
              <w:widowControl/>
              <w:spacing w:line="240" w:lineRule="exact"/>
              <w:jc w:val="center"/>
              <w:rPr>
                <w:rFonts w:hint="eastAsia" w:eastAsia="宋体"/>
                <w:color w:val="000000"/>
                <w:szCs w:val="21"/>
                <w:lang w:val="en-US" w:eastAsia="zh-CN"/>
              </w:rPr>
            </w:pPr>
            <w:r>
              <w:rPr>
                <w:rFonts w:hint="eastAsia"/>
                <w:color w:val="000000"/>
                <w:szCs w:val="21"/>
              </w:rPr>
              <w:t>0.98</w:t>
            </w:r>
            <w:r>
              <w:rPr>
                <w:rFonts w:hint="eastAsia"/>
                <w:color w:val="000000"/>
                <w:szCs w:val="21"/>
                <w:lang w:val="en-US" w:eastAsia="zh-CN"/>
              </w:rPr>
              <w:t>%</w:t>
            </w:r>
          </w:p>
        </w:tc>
        <w:tc>
          <w:tcPr>
            <w:tcW w:w="149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9.82</w:t>
            </w:r>
          </w:p>
        </w:tc>
      </w:tr>
      <w:tr>
        <w:trPr>
          <w:wBefore w:w="0" w:type="auto"/>
          <w:trHeight w:val="23" w:hRule="atLeast"/>
          <w:jc w:val="center"/>
        </w:trPr>
        <w:tc>
          <w:tcPr>
            <w:tcW w:w="1353"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343"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其中：当年财政拨款</w:t>
            </w:r>
          </w:p>
        </w:tc>
        <w:tc>
          <w:tcPr>
            <w:tcW w:w="12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231"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55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53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7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49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343" w:type="dxa"/>
            <w:gridSpan w:val="2"/>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jc w:val="center"/>
              <w:rPr>
                <w:color w:val="000000"/>
                <w:szCs w:val="21"/>
              </w:rPr>
            </w:pPr>
            <w:r>
              <w:rPr>
                <w:color w:val="000000"/>
                <w:szCs w:val="21"/>
              </w:rPr>
              <w:t>上年结转资金</w:t>
            </w:r>
          </w:p>
        </w:tc>
        <w:tc>
          <w:tcPr>
            <w:tcW w:w="12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231"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55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53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7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49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343" w:type="dxa"/>
            <w:gridSpan w:val="2"/>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jc w:val="center"/>
              <w:rPr>
                <w:color w:val="000000"/>
                <w:szCs w:val="21"/>
              </w:rPr>
            </w:pPr>
            <w:r>
              <w:rPr>
                <w:color w:val="000000"/>
                <w:szCs w:val="21"/>
              </w:rPr>
              <w:t>其他资金</w:t>
            </w:r>
          </w:p>
        </w:tc>
        <w:tc>
          <w:tcPr>
            <w:tcW w:w="12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231"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55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53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7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49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年度总体目标</w:t>
            </w:r>
          </w:p>
        </w:tc>
        <w:tc>
          <w:tcPr>
            <w:tcW w:w="4834" w:type="dxa"/>
            <w:gridSpan w:val="4"/>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年度目标</w:t>
            </w:r>
          </w:p>
        </w:tc>
        <w:tc>
          <w:tcPr>
            <w:tcW w:w="4278"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实际完成情况</w:t>
            </w:r>
          </w:p>
        </w:tc>
      </w:tr>
      <w:tr>
        <w:trPr>
          <w:wBefore w:w="0" w:type="auto"/>
          <w:trHeight w:val="870" w:hRule="atLeast"/>
          <w:jc w:val="center"/>
        </w:trPr>
        <w:tc>
          <w:tcPr>
            <w:tcW w:w="1353"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4834" w:type="dxa"/>
            <w:gridSpan w:val="4"/>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确保各项教学工作顺利推进，确保人员工资、福利及各项办学成本正常支出</w:t>
            </w:r>
          </w:p>
        </w:tc>
        <w:tc>
          <w:tcPr>
            <w:tcW w:w="4278"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2023年，确保了各项教学工作顺利推进，确保人员工资、福利及各项办学成本正常支出</w:t>
            </w:r>
          </w:p>
        </w:tc>
      </w:tr>
      <w:tr>
        <w:trPr>
          <w:wBefore w:w="0" w:type="auto"/>
          <w:trHeight w:val="23" w:hRule="atLeast"/>
          <w:jc w:val="center"/>
        </w:trPr>
        <w:tc>
          <w:tcPr>
            <w:tcW w:w="1353" w:type="dxa"/>
            <w:vMerge w:val="restart"/>
            <w:tcBorders>
              <w:top w:val="nil"/>
              <w:left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绩</w:t>
            </w:r>
          </w:p>
          <w:p>
            <w:pPr>
              <w:pStyle w:val="6"/>
              <w:widowControl/>
              <w:spacing w:line="240" w:lineRule="exact"/>
              <w:jc w:val="center"/>
              <w:rPr>
                <w:color w:val="000000"/>
                <w:szCs w:val="21"/>
              </w:rPr>
            </w:pPr>
            <w:r>
              <w:rPr>
                <w:color w:val="000000"/>
                <w:szCs w:val="21"/>
              </w:rPr>
              <w:t>效</w:t>
            </w:r>
          </w:p>
          <w:p>
            <w:pPr>
              <w:pStyle w:val="6"/>
              <w:widowControl/>
              <w:spacing w:line="240" w:lineRule="exact"/>
              <w:jc w:val="center"/>
              <w:rPr>
                <w:color w:val="000000"/>
                <w:szCs w:val="21"/>
              </w:rPr>
            </w:pPr>
            <w:r>
              <w:rPr>
                <w:color w:val="000000"/>
                <w:szCs w:val="21"/>
              </w:rPr>
              <w:t>指</w:t>
            </w:r>
          </w:p>
          <w:p>
            <w:pPr>
              <w:pStyle w:val="6"/>
              <w:widowControl/>
              <w:spacing w:line="240" w:lineRule="exact"/>
              <w:jc w:val="center"/>
              <w:rPr>
                <w:color w:val="000000"/>
                <w:szCs w:val="21"/>
              </w:rPr>
            </w:pPr>
            <w:r>
              <w:rPr>
                <w:color w:val="000000"/>
                <w:szCs w:val="21"/>
              </w:rPr>
              <w:t>标</w:t>
            </w:r>
          </w:p>
        </w:tc>
        <w:tc>
          <w:tcPr>
            <w:tcW w:w="1038"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一级</w:t>
            </w:r>
          </w:p>
          <w:p>
            <w:pPr>
              <w:pStyle w:val="6"/>
              <w:widowControl/>
              <w:spacing w:line="240" w:lineRule="exact"/>
              <w:jc w:val="center"/>
              <w:rPr>
                <w:color w:val="000000"/>
                <w:szCs w:val="21"/>
              </w:rPr>
            </w:pPr>
            <w:r>
              <w:rPr>
                <w:color w:val="000000"/>
                <w:szCs w:val="21"/>
              </w:rPr>
              <w:t>指标</w:t>
            </w:r>
          </w:p>
        </w:tc>
        <w:tc>
          <w:tcPr>
            <w:tcW w:w="130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二级</w:t>
            </w:r>
          </w:p>
          <w:p>
            <w:pPr>
              <w:pStyle w:val="6"/>
              <w:widowControl/>
              <w:spacing w:line="240" w:lineRule="exact"/>
              <w:jc w:val="center"/>
              <w:rPr>
                <w:color w:val="000000"/>
                <w:szCs w:val="21"/>
              </w:rPr>
            </w:pPr>
            <w:r>
              <w:rPr>
                <w:color w:val="000000"/>
                <w:szCs w:val="21"/>
              </w:rPr>
              <w:t>指标</w:t>
            </w:r>
          </w:p>
        </w:tc>
        <w:tc>
          <w:tcPr>
            <w:tcW w:w="12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三级指标内容</w:t>
            </w:r>
          </w:p>
        </w:tc>
        <w:tc>
          <w:tcPr>
            <w:tcW w:w="1231"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w:t>
            </w:r>
          </w:p>
          <w:p>
            <w:pPr>
              <w:pStyle w:val="6"/>
              <w:widowControl/>
              <w:spacing w:line="240" w:lineRule="exact"/>
              <w:jc w:val="center"/>
              <w:rPr>
                <w:color w:val="000000"/>
                <w:szCs w:val="21"/>
              </w:rPr>
            </w:pPr>
            <w:r>
              <w:rPr>
                <w:color w:val="000000"/>
                <w:szCs w:val="21"/>
              </w:rPr>
              <w:t>指标值</w:t>
            </w:r>
          </w:p>
        </w:tc>
        <w:tc>
          <w:tcPr>
            <w:tcW w:w="155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w:t>
            </w:r>
          </w:p>
          <w:p>
            <w:pPr>
              <w:pStyle w:val="6"/>
              <w:widowControl/>
              <w:spacing w:line="240" w:lineRule="exact"/>
              <w:jc w:val="center"/>
              <w:rPr>
                <w:color w:val="000000"/>
                <w:szCs w:val="21"/>
              </w:rPr>
            </w:pPr>
            <w:r>
              <w:rPr>
                <w:color w:val="000000"/>
                <w:szCs w:val="21"/>
              </w:rPr>
              <w:t>完成值</w:t>
            </w:r>
          </w:p>
        </w:tc>
        <w:tc>
          <w:tcPr>
            <w:tcW w:w="53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分值</w:t>
            </w:r>
          </w:p>
        </w:tc>
        <w:tc>
          <w:tcPr>
            <w:tcW w:w="7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得分</w:t>
            </w:r>
          </w:p>
        </w:tc>
        <w:tc>
          <w:tcPr>
            <w:tcW w:w="149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偏差原因分析及</w:t>
            </w:r>
          </w:p>
          <w:p>
            <w:pPr>
              <w:pStyle w:val="6"/>
              <w:widowControl/>
              <w:spacing w:line="240" w:lineRule="exact"/>
              <w:jc w:val="center"/>
              <w:rPr>
                <w:color w:val="000000"/>
                <w:szCs w:val="21"/>
              </w:rPr>
            </w:pPr>
            <w:r>
              <w:rPr>
                <w:color w:val="000000"/>
                <w:szCs w:val="21"/>
              </w:rPr>
              <w:t>改进措施</w:t>
            </w: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vMerge w:val="restart"/>
            <w:tcBorders>
              <w:top w:val="nil"/>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成本</w:t>
            </w:r>
          </w:p>
          <w:p>
            <w:pPr>
              <w:pStyle w:val="6"/>
              <w:widowControl/>
              <w:spacing w:line="240" w:lineRule="exact"/>
              <w:jc w:val="center"/>
              <w:rPr>
                <w:color w:val="000000"/>
                <w:szCs w:val="21"/>
              </w:rPr>
            </w:pPr>
            <w:r>
              <w:rPr>
                <w:color w:val="000000"/>
                <w:szCs w:val="21"/>
              </w:rPr>
              <w:t>指标</w:t>
            </w:r>
          </w:p>
        </w:tc>
        <w:tc>
          <w:tcPr>
            <w:tcW w:w="1305" w:type="dxa"/>
            <w:tcBorders>
              <w:top w:val="nil"/>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经济成本</w:t>
            </w:r>
          </w:p>
          <w:p>
            <w:pPr>
              <w:pStyle w:val="6"/>
              <w:widowControl/>
              <w:spacing w:line="240" w:lineRule="exact"/>
              <w:jc w:val="center"/>
              <w:rPr>
                <w:color w:val="000000"/>
                <w:szCs w:val="21"/>
              </w:rPr>
            </w:pPr>
            <w:r>
              <w:rPr>
                <w:color w:val="000000"/>
                <w:szCs w:val="21"/>
              </w:rPr>
              <w:t>指标</w:t>
            </w:r>
          </w:p>
        </w:tc>
        <w:tc>
          <w:tcPr>
            <w:tcW w:w="12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青少年校外培训</w:t>
            </w:r>
          </w:p>
        </w:tc>
        <w:tc>
          <w:tcPr>
            <w:tcW w:w="1231"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普惠性办学</w:t>
            </w:r>
          </w:p>
        </w:tc>
        <w:tc>
          <w:tcPr>
            <w:tcW w:w="155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sz w:val="18"/>
                <w:szCs w:val="18"/>
              </w:rPr>
              <w:t>人</w:t>
            </w:r>
            <w:r>
              <w:rPr>
                <w:sz w:val="18"/>
                <w:szCs w:val="18"/>
              </w:rPr>
              <w:t>员工资、福利，商品支出，教育培训，各类主题活动，硬件改造，设备更新，水电。非营利性办学，支出</w:t>
            </w:r>
            <w:r>
              <w:rPr>
                <w:rFonts w:hint="eastAsia"/>
                <w:sz w:val="18"/>
                <w:szCs w:val="18"/>
              </w:rPr>
              <w:t>196</w:t>
            </w:r>
            <w:r>
              <w:rPr>
                <w:sz w:val="18"/>
                <w:szCs w:val="18"/>
              </w:rPr>
              <w:t>万。</w:t>
            </w:r>
          </w:p>
        </w:tc>
        <w:tc>
          <w:tcPr>
            <w:tcW w:w="53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8</w:t>
            </w:r>
          </w:p>
        </w:tc>
        <w:tc>
          <w:tcPr>
            <w:tcW w:w="1494" w:type="dxa"/>
            <w:tcBorders>
              <w:top w:val="nil"/>
              <w:left w:val="nil"/>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项目资金核算有偏差，加强预算核算准确性</w:t>
            </w: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vMerge w:val="continue"/>
            <w:tcBorders>
              <w:left w:val="nil"/>
              <w:right w:val="single" w:color="auto" w:sz="4" w:space="0"/>
            </w:tcBorders>
            <w:noWrap w:val="0"/>
            <w:vAlign w:val="center"/>
          </w:tcPr>
          <w:p>
            <w:pPr>
              <w:pStyle w:val="6"/>
              <w:widowControl/>
              <w:spacing w:line="240" w:lineRule="exact"/>
              <w:jc w:val="center"/>
              <w:rPr>
                <w:color w:val="000000"/>
                <w:szCs w:val="21"/>
              </w:rPr>
            </w:pPr>
          </w:p>
        </w:tc>
        <w:tc>
          <w:tcPr>
            <w:tcW w:w="1305" w:type="dxa"/>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社会成本</w:t>
            </w:r>
          </w:p>
          <w:p>
            <w:pPr>
              <w:pStyle w:val="6"/>
              <w:widowControl/>
              <w:spacing w:line="240" w:lineRule="exact"/>
              <w:jc w:val="center"/>
              <w:rPr>
                <w:color w:val="000000"/>
                <w:szCs w:val="21"/>
              </w:rPr>
            </w:pPr>
            <w:r>
              <w:rPr>
                <w:color w:val="000000"/>
                <w:szCs w:val="21"/>
              </w:rPr>
              <w:t>指标</w:t>
            </w:r>
          </w:p>
        </w:tc>
        <w:tc>
          <w:tcPr>
            <w:tcW w:w="12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人员工资、福利，商品支出，教育培训，各类主题活动，硬件改造，设备更新，水电。</w:t>
            </w:r>
          </w:p>
        </w:tc>
        <w:tc>
          <w:tcPr>
            <w:tcW w:w="1231"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非营利性办学，支出200万</w:t>
            </w:r>
          </w:p>
        </w:tc>
        <w:tc>
          <w:tcPr>
            <w:tcW w:w="1550" w:type="dxa"/>
            <w:tcBorders>
              <w:top w:val="nil"/>
              <w:left w:val="nil"/>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sz w:val="18"/>
                <w:szCs w:val="18"/>
              </w:rPr>
              <w:t>落实长沙市青少年宫“公益立宫、活动强宫、品牌兴宫、从严治宫”的办宫方向，严抓教育教学质量，培养全面发展新时代学生</w:t>
            </w:r>
            <w:r>
              <w:rPr>
                <w:rFonts w:hint="eastAsia"/>
                <w:sz w:val="18"/>
                <w:szCs w:val="18"/>
              </w:rPr>
              <w:t>，完成良好</w:t>
            </w:r>
          </w:p>
        </w:tc>
        <w:tc>
          <w:tcPr>
            <w:tcW w:w="53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49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vMerge w:val="continue"/>
            <w:tcBorders>
              <w:left w:val="nil"/>
              <w:right w:val="single" w:color="auto" w:sz="4" w:space="0"/>
            </w:tcBorders>
            <w:noWrap w:val="0"/>
            <w:vAlign w:val="center"/>
          </w:tcPr>
          <w:p>
            <w:pPr>
              <w:pStyle w:val="6"/>
              <w:widowControl/>
              <w:spacing w:line="240" w:lineRule="exact"/>
              <w:jc w:val="center"/>
              <w:rPr>
                <w:color w:val="000000"/>
                <w:szCs w:val="21"/>
              </w:rPr>
            </w:pPr>
          </w:p>
        </w:tc>
        <w:tc>
          <w:tcPr>
            <w:tcW w:w="1305"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生态环境成本指标</w:t>
            </w:r>
          </w:p>
        </w:tc>
        <w:tc>
          <w:tcPr>
            <w:tcW w:w="12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提高办学质量，提升社会评价口碑，扩大小杜鹃品牌社会影响力。</w:t>
            </w:r>
          </w:p>
        </w:tc>
        <w:tc>
          <w:tcPr>
            <w:tcW w:w="1231"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教学上争先创优</w:t>
            </w:r>
          </w:p>
        </w:tc>
        <w:tc>
          <w:tcPr>
            <w:tcW w:w="155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提高教育教学质量、服务质量，创设书香校园人文环境，完善硬件设备升级和环境改造，给全市青少年创造良好的学习生活环境。</w:t>
            </w:r>
          </w:p>
        </w:tc>
        <w:tc>
          <w:tcPr>
            <w:tcW w:w="53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w:t>
            </w:r>
          </w:p>
        </w:tc>
        <w:tc>
          <w:tcPr>
            <w:tcW w:w="149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校园改建期间，房屋年久失修，今后将加强校园环境及硬件建设</w:t>
            </w:r>
          </w:p>
        </w:tc>
      </w:tr>
      <w:tr>
        <w:trPr>
          <w:wBefore w:w="0" w:type="auto"/>
          <w:trHeight w:val="1169"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vMerge w:val="restart"/>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产出</w:t>
            </w:r>
          </w:p>
          <w:p>
            <w:pPr>
              <w:pStyle w:val="6"/>
              <w:widowControl/>
              <w:spacing w:line="240" w:lineRule="exact"/>
              <w:jc w:val="center"/>
              <w:rPr>
                <w:color w:val="000000"/>
                <w:szCs w:val="21"/>
              </w:rPr>
            </w:pPr>
            <w:r>
              <w:rPr>
                <w:color w:val="000000"/>
                <w:szCs w:val="21"/>
              </w:rPr>
              <w:t>指标</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数量指标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开展青少年校外教育</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面向全市青少年开展青少年校外教育，力争全年惠及青少年3000人次以上，正常开展教学。</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面向全市青少年开展青少年校外教育，力争全年惠及青少年3000人次以上，正常开展教学。</w:t>
            </w: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vMerge w:val="continue"/>
            <w:tcBorders>
              <w:left w:val="nil"/>
              <w:right w:val="single" w:color="auto" w:sz="4" w:space="0"/>
            </w:tcBorders>
            <w:noWrap w:val="0"/>
            <w:vAlign w:val="center"/>
          </w:tcPr>
          <w:p>
            <w:pPr>
              <w:pStyle w:val="6"/>
              <w:spacing w:line="240" w:lineRule="exact"/>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质量指标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加强教师专业培训，抓实抓严课堂常规，抓深抓细教育教研，做好各项质量检测系服务青少年的大阵地、长沙青少年健康成长的大乐园</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打造“以活动为主，培训为辅”的青少年校外教育实践基地，努力成为湖湘文化传承的大平台、青少年社会教育的大摇篮、党团组织联系服务青少年的大阵地、长沙青少年健康成长的大乐园。</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打造“以活动为主，培训为辅”的青少年校外教育实践基地，努力成为湖湘文化传承的大平台、青少年社会教育的大摇篮、党团组织联系服务青少年的大阵地、长沙青少年健康成长的大乐园。</w:t>
            </w: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vMerge w:val="continue"/>
            <w:tcBorders>
              <w:left w:val="nil"/>
              <w:right w:val="single" w:color="auto" w:sz="4" w:space="0"/>
            </w:tcBorders>
            <w:noWrap w:val="0"/>
            <w:vAlign w:val="center"/>
          </w:tcPr>
          <w:p>
            <w:pPr>
              <w:pStyle w:val="6"/>
              <w:spacing w:line="240" w:lineRule="exact"/>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时效指标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202</w:t>
            </w:r>
            <w:r>
              <w:rPr>
                <w:rFonts w:hint="eastAsia"/>
                <w:sz w:val="18"/>
                <w:szCs w:val="18"/>
              </w:rPr>
              <w:t>3</w:t>
            </w:r>
            <w:r>
              <w:rPr>
                <w:sz w:val="18"/>
                <w:szCs w:val="18"/>
              </w:rPr>
              <w:t>年1月至202</w:t>
            </w:r>
            <w:r>
              <w:rPr>
                <w:rFonts w:hint="eastAsia"/>
                <w:sz w:val="18"/>
                <w:szCs w:val="18"/>
              </w:rPr>
              <w:t>3</w:t>
            </w:r>
            <w:r>
              <w:rPr>
                <w:sz w:val="18"/>
                <w:szCs w:val="18"/>
              </w:rPr>
              <w:t>年12月</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依据202</w:t>
            </w:r>
            <w:r>
              <w:rPr>
                <w:rFonts w:hint="eastAsia"/>
                <w:sz w:val="18"/>
                <w:szCs w:val="18"/>
              </w:rPr>
              <w:t>3</w:t>
            </w:r>
            <w:r>
              <w:rPr>
                <w:sz w:val="18"/>
                <w:szCs w:val="18"/>
              </w:rPr>
              <w:t>年预算指标和202</w:t>
            </w:r>
            <w:r>
              <w:rPr>
                <w:rFonts w:hint="eastAsia"/>
                <w:sz w:val="18"/>
                <w:szCs w:val="18"/>
              </w:rPr>
              <w:t>3</w:t>
            </w:r>
            <w:r>
              <w:rPr>
                <w:sz w:val="18"/>
                <w:szCs w:val="18"/>
              </w:rPr>
              <w:t>年工作计划逐步完成各方面工作。</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依据202</w:t>
            </w:r>
            <w:r>
              <w:rPr>
                <w:rFonts w:hint="eastAsia"/>
                <w:sz w:val="18"/>
                <w:szCs w:val="18"/>
              </w:rPr>
              <w:t>3</w:t>
            </w:r>
            <w:r>
              <w:rPr>
                <w:sz w:val="18"/>
                <w:szCs w:val="18"/>
              </w:rPr>
              <w:t>年预算指标和202</w:t>
            </w:r>
            <w:r>
              <w:rPr>
                <w:rFonts w:hint="eastAsia"/>
                <w:sz w:val="18"/>
                <w:szCs w:val="18"/>
              </w:rPr>
              <w:t>3</w:t>
            </w:r>
            <w:r>
              <w:rPr>
                <w:sz w:val="18"/>
                <w:szCs w:val="18"/>
              </w:rPr>
              <w:t>年工作计划逐步完成各方面工作。</w:t>
            </w: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vMerge w:val="restart"/>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效益</w:t>
            </w:r>
          </w:p>
          <w:p>
            <w:pPr>
              <w:pStyle w:val="6"/>
              <w:widowControl/>
              <w:spacing w:line="240" w:lineRule="exact"/>
              <w:jc w:val="center"/>
              <w:rPr>
                <w:color w:val="000000"/>
                <w:szCs w:val="21"/>
              </w:rPr>
            </w:pPr>
            <w:r>
              <w:rPr>
                <w:color w:val="000000"/>
                <w:szCs w:val="21"/>
              </w:rPr>
              <w:t>指标</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经济效益</w:t>
            </w:r>
          </w:p>
          <w:p>
            <w:pPr>
              <w:pStyle w:val="6"/>
              <w:widowControl/>
              <w:spacing w:line="240" w:lineRule="exact"/>
              <w:jc w:val="center"/>
              <w:rPr>
                <w:color w:val="000000"/>
                <w:szCs w:val="21"/>
              </w:rPr>
            </w:pPr>
            <w:r>
              <w:rPr>
                <w:color w:val="000000"/>
                <w:szCs w:val="21"/>
              </w:rPr>
              <w:t>指标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青少年校外培训</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普惠性办学</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青少年校外培训，普惠性办学。</w:t>
            </w: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vMerge w:val="continue"/>
            <w:tcBorders>
              <w:top w:val="single" w:color="auto" w:sz="4" w:space="0"/>
              <w:left w:val="nil"/>
              <w:bottom w:val="single" w:color="auto" w:sz="4" w:space="0"/>
              <w:right w:val="single" w:color="auto" w:sz="4" w:space="0"/>
            </w:tcBorders>
            <w:noWrap w:val="0"/>
            <w:vAlign w:val="center"/>
          </w:tcPr>
          <w:p>
            <w:pPr>
              <w:pStyle w:val="6"/>
              <w:spacing w:line="240" w:lineRule="exact"/>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社会效益</w:t>
            </w:r>
          </w:p>
          <w:p>
            <w:pPr>
              <w:pStyle w:val="6"/>
              <w:widowControl/>
              <w:spacing w:line="240" w:lineRule="exact"/>
              <w:jc w:val="center"/>
              <w:rPr>
                <w:color w:val="000000"/>
                <w:szCs w:val="21"/>
              </w:rPr>
            </w:pPr>
            <w:r>
              <w:rPr>
                <w:color w:val="000000"/>
                <w:szCs w:val="21"/>
              </w:rPr>
              <w:t>指标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落实长沙市青少年宫“公益立宫、活动强宫、品牌兴宫、从严治宫”的办宫方向，严抓教育教学质量，培养全面发展新时代学生。</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落实长沙市青少年宫“公益立宫、活动强宫、品牌兴宫、从严治宫”的办宫方向，严抓教育教学质量，培养全面发展新时代学生。</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落实长沙市青少年宫“公益立宫、活动强宫、品牌兴宫、从严治宫”的办宫方向，严抓教育教学质量，培养全面发展新时代学生</w:t>
            </w:r>
            <w:r>
              <w:rPr>
                <w:rFonts w:hint="eastAsia"/>
                <w:sz w:val="18"/>
                <w:szCs w:val="18"/>
              </w:rPr>
              <w:t>.</w:t>
            </w: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vMerge w:val="continue"/>
            <w:tcBorders>
              <w:top w:val="single" w:color="auto" w:sz="4" w:space="0"/>
              <w:left w:val="nil"/>
              <w:bottom w:val="single" w:color="auto" w:sz="4" w:space="0"/>
              <w:right w:val="single" w:color="auto" w:sz="4" w:space="0"/>
            </w:tcBorders>
            <w:noWrap w:val="0"/>
            <w:vAlign w:val="center"/>
          </w:tcPr>
          <w:p>
            <w:pPr>
              <w:pStyle w:val="6"/>
              <w:spacing w:line="240" w:lineRule="exact"/>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环境效益</w:t>
            </w:r>
          </w:p>
          <w:p>
            <w:pPr>
              <w:pStyle w:val="6"/>
              <w:widowControl/>
              <w:spacing w:line="240" w:lineRule="exact"/>
              <w:jc w:val="center"/>
              <w:rPr>
                <w:color w:val="000000"/>
                <w:szCs w:val="21"/>
              </w:rPr>
            </w:pPr>
            <w:r>
              <w:rPr>
                <w:color w:val="000000"/>
                <w:szCs w:val="21"/>
              </w:rPr>
              <w:t>指标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提高教育教学质量、服务质量，创设书香校园人文环境，完善硬件设备升级和环境改造，给师生创造良好的学习生活环境。</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提高教育教学质量、服务质量，创设书香校园人文环境，完善硬件设备升级和环境改造，给师生创造良好的学习生活环境。</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提高办学质量，提升社会评价口碑，扩大小杜鹃品牌社会影响力。教学上创优争先。</w:t>
            </w: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038" w:type="dxa"/>
            <w:vMerge w:val="continue"/>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可持续影响</w:t>
            </w:r>
          </w:p>
          <w:p>
            <w:pPr>
              <w:pStyle w:val="6"/>
              <w:widowControl/>
              <w:spacing w:line="240" w:lineRule="exact"/>
              <w:jc w:val="center"/>
              <w:rPr>
                <w:color w:val="000000"/>
                <w:szCs w:val="21"/>
              </w:rPr>
            </w:pPr>
            <w:r>
              <w:rPr>
                <w:color w:val="000000"/>
                <w:szCs w:val="21"/>
              </w:rPr>
              <w:t>指标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持续扩大青少年宫校外教育影响</w:t>
            </w:r>
          </w:p>
        </w:tc>
        <w:tc>
          <w:tcPr>
            <w:tcW w:w="1231"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持续扩大青少年宫校外教育影响</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持续扩大青少年宫校外教育影响</w:t>
            </w:r>
          </w:p>
        </w:tc>
        <w:tc>
          <w:tcPr>
            <w:tcW w:w="53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149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1353"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1038"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满意度指标</w:t>
            </w:r>
          </w:p>
        </w:tc>
        <w:tc>
          <w:tcPr>
            <w:tcW w:w="1305" w:type="dxa"/>
            <w:tcBorders>
              <w:top w:val="single" w:color="auto" w:sz="4" w:space="0"/>
              <w:left w:val="nil"/>
              <w:right w:val="single" w:color="auto" w:sz="4" w:space="0"/>
            </w:tcBorders>
            <w:noWrap w:val="0"/>
            <w:vAlign w:val="center"/>
          </w:tcPr>
          <w:p>
            <w:pPr>
              <w:pStyle w:val="6"/>
              <w:widowControl/>
              <w:spacing w:line="240" w:lineRule="exact"/>
              <w:jc w:val="center"/>
              <w:rPr>
                <w:color w:val="000000"/>
                <w:szCs w:val="21"/>
              </w:rPr>
            </w:pPr>
            <w:r>
              <w:rPr>
                <w:color w:val="000000"/>
                <w:szCs w:val="21"/>
              </w:rPr>
              <w:t>服务对象</w:t>
            </w:r>
          </w:p>
          <w:p>
            <w:pPr>
              <w:pStyle w:val="6"/>
              <w:widowControl/>
              <w:spacing w:line="240" w:lineRule="exact"/>
              <w:jc w:val="center"/>
              <w:rPr>
                <w:color w:val="000000"/>
                <w:szCs w:val="21"/>
              </w:rPr>
            </w:pPr>
            <w:r>
              <w:rPr>
                <w:color w:val="000000"/>
                <w:szCs w:val="21"/>
              </w:rPr>
              <w:t>满意度指标</w:t>
            </w:r>
          </w:p>
        </w:tc>
        <w:tc>
          <w:tcPr>
            <w:tcW w:w="126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让广大学员和家长满意</w:t>
            </w:r>
          </w:p>
        </w:tc>
        <w:tc>
          <w:tcPr>
            <w:tcW w:w="1231"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满意度达90%</w:t>
            </w:r>
          </w:p>
        </w:tc>
        <w:tc>
          <w:tcPr>
            <w:tcW w:w="155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sz w:val="18"/>
                <w:szCs w:val="18"/>
              </w:rPr>
              <w:t>让广大学员和家长满意,满意度达90%</w:t>
            </w:r>
          </w:p>
        </w:tc>
        <w:tc>
          <w:tcPr>
            <w:tcW w:w="534"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700"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494" w:type="dxa"/>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wBefore w:w="0" w:type="auto"/>
          <w:trHeight w:val="23" w:hRule="atLeast"/>
          <w:jc w:val="center"/>
        </w:trPr>
        <w:tc>
          <w:tcPr>
            <w:tcW w:w="7737" w:type="dxa"/>
            <w:gridSpan w:val="6"/>
            <w:tcBorders>
              <w:top w:val="single" w:color="auto" w:sz="4" w:space="0"/>
              <w:left w:val="single" w:color="auto" w:sz="4" w:space="0"/>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总  分</w:t>
            </w:r>
          </w:p>
        </w:tc>
        <w:tc>
          <w:tcPr>
            <w:tcW w:w="53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100</w:t>
            </w:r>
          </w:p>
        </w:tc>
        <w:tc>
          <w:tcPr>
            <w:tcW w:w="7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97.82</w:t>
            </w:r>
          </w:p>
        </w:tc>
        <w:tc>
          <w:tcPr>
            <w:tcW w:w="149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bl>
    <w:p>
      <w:pPr>
        <w:pStyle w:val="6"/>
        <w:jc w:val="center"/>
        <w:rPr>
          <w:rFonts w:hint="eastAsia" w:ascii="黑体" w:hAnsi="黑体" w:eastAsia="黑体" w:cs="黑体"/>
          <w:sz w:val="32"/>
          <w:szCs w:val="32"/>
        </w:rPr>
      </w:pPr>
    </w:p>
    <w:p>
      <w:pPr>
        <w:pStyle w:val="6"/>
        <w:jc w:val="center"/>
        <w:rPr>
          <w:rFonts w:hint="eastAsia" w:ascii="黑体" w:hAnsi="黑体" w:eastAsia="黑体" w:cs="黑体"/>
          <w:sz w:val="32"/>
          <w:szCs w:val="32"/>
        </w:rPr>
      </w:pPr>
    </w:p>
    <w:p>
      <w:pPr>
        <w:pStyle w:val="6"/>
        <w:jc w:val="center"/>
        <w:rPr>
          <w:rFonts w:hint="eastAsia" w:ascii="黑体" w:hAnsi="黑体" w:eastAsia="黑体" w:cs="黑体"/>
          <w:sz w:val="32"/>
          <w:szCs w:val="32"/>
        </w:rPr>
      </w:pPr>
    </w:p>
    <w:p>
      <w:pPr>
        <w:pStyle w:val="6"/>
        <w:jc w:val="center"/>
        <w:rPr>
          <w:rFonts w:hint="eastAsia" w:ascii="黑体" w:hAnsi="黑体" w:eastAsia="黑体" w:cs="黑体"/>
          <w:sz w:val="32"/>
          <w:szCs w:val="32"/>
        </w:rPr>
      </w:pPr>
    </w:p>
    <w:p>
      <w:pPr>
        <w:pStyle w:val="6"/>
        <w:jc w:val="center"/>
        <w:rPr>
          <w:rFonts w:hint="eastAsia" w:ascii="黑体" w:hAnsi="黑体" w:eastAsia="黑体" w:cs="黑体"/>
          <w:sz w:val="44"/>
          <w:szCs w:val="44"/>
        </w:rPr>
      </w:pPr>
      <w:r>
        <w:rPr>
          <w:rFonts w:hint="eastAsia" w:ascii="黑体" w:hAnsi="黑体" w:eastAsia="黑体" w:cs="黑体"/>
          <w:sz w:val="44"/>
          <w:szCs w:val="44"/>
        </w:rPr>
        <w:t>2023年度项目支出绩效自评表</w:t>
      </w:r>
    </w:p>
    <w:tbl>
      <w:tblPr>
        <w:tblStyle w:val="16"/>
        <w:tblW w:w="8844" w:type="dxa"/>
        <w:jc w:val="center"/>
        <w:tblLayout w:type="autofit"/>
        <w:tblCellMar>
          <w:top w:w="0" w:type="dxa"/>
          <w:left w:w="57" w:type="dxa"/>
          <w:bottom w:w="0" w:type="dxa"/>
          <w:right w:w="57" w:type="dxa"/>
        </w:tblCellMar>
      </w:tblPr>
      <w:tblGrid>
        <w:gridCol w:w="1467"/>
        <w:gridCol w:w="750"/>
        <w:gridCol w:w="1320"/>
        <w:gridCol w:w="900"/>
        <w:gridCol w:w="855"/>
        <w:gridCol w:w="975"/>
        <w:gridCol w:w="560"/>
        <w:gridCol w:w="913"/>
        <w:gridCol w:w="1104"/>
      </w:tblGrid>
      <w:tr>
        <w:tblPrEx>
          <w:tblCellMar>
            <w:top w:w="0" w:type="dxa"/>
            <w:left w:w="57" w:type="dxa"/>
            <w:bottom w:w="0" w:type="dxa"/>
            <w:right w:w="57" w:type="dxa"/>
          </w:tblCellMar>
        </w:tblPrEx>
        <w:trPr>
          <w:trHeight w:val="38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t>项目支出名称</w:t>
            </w:r>
          </w:p>
        </w:tc>
        <w:tc>
          <w:tcPr>
            <w:tcW w:w="7377" w:type="dxa"/>
            <w:gridSpan w:val="8"/>
            <w:tcBorders>
              <w:top w:val="single" w:color="auto" w:sz="4" w:space="0"/>
              <w:left w:val="nil"/>
              <w:bottom w:val="single" w:color="auto" w:sz="4" w:space="0"/>
              <w:right w:val="single" w:color="auto" w:sz="4" w:space="0"/>
            </w:tcBorders>
            <w:noWrap w:val="0"/>
            <w:vAlign w:val="center"/>
          </w:tcPr>
          <w:p>
            <w:pPr>
              <w:pStyle w:val="6"/>
              <w:jc w:val="center"/>
              <w:rPr>
                <w:szCs w:val="21"/>
              </w:rPr>
            </w:pPr>
            <w:r>
              <w:t>长沙市新青少年宫后续建设项目剩余款项</w:t>
            </w:r>
          </w:p>
        </w:tc>
      </w:tr>
      <w:tr>
        <w:trPr>
          <w:trHeight w:val="305" w:hRule="atLeast"/>
          <w:jc w:val="center"/>
        </w:trPr>
        <w:tc>
          <w:tcPr>
            <w:tcW w:w="1467" w:type="dxa"/>
            <w:tcBorders>
              <w:top w:val="nil"/>
              <w:left w:val="single" w:color="auto" w:sz="4" w:space="0"/>
              <w:bottom w:val="single" w:color="auto" w:sz="4" w:space="0"/>
              <w:right w:val="single" w:color="auto" w:sz="4" w:space="0"/>
            </w:tcBorders>
            <w:noWrap w:val="0"/>
            <w:vAlign w:val="center"/>
          </w:tcPr>
          <w:p>
            <w:pPr>
              <w:pStyle w:val="6"/>
              <w:jc w:val="center"/>
            </w:pPr>
            <w:r>
              <w:t>主管部门</w:t>
            </w:r>
          </w:p>
        </w:tc>
        <w:tc>
          <w:tcPr>
            <w:tcW w:w="3825" w:type="dxa"/>
            <w:gridSpan w:val="4"/>
            <w:tcBorders>
              <w:top w:val="single" w:color="auto" w:sz="4" w:space="0"/>
              <w:left w:val="nil"/>
              <w:bottom w:val="single" w:color="auto" w:sz="4" w:space="0"/>
              <w:right w:val="single" w:color="auto" w:sz="4" w:space="0"/>
            </w:tcBorders>
            <w:noWrap w:val="0"/>
            <w:vAlign w:val="center"/>
          </w:tcPr>
          <w:p>
            <w:pPr>
              <w:pStyle w:val="6"/>
              <w:jc w:val="center"/>
            </w:pPr>
            <w:r>
              <w:rPr>
                <w:rFonts w:hint="eastAsia"/>
              </w:rPr>
              <w:t>共青团长沙市委</w:t>
            </w:r>
          </w:p>
        </w:tc>
        <w:tc>
          <w:tcPr>
            <w:tcW w:w="975" w:type="dxa"/>
            <w:tcBorders>
              <w:top w:val="single" w:color="auto" w:sz="4" w:space="0"/>
              <w:left w:val="nil"/>
              <w:bottom w:val="single" w:color="auto" w:sz="4" w:space="0"/>
              <w:right w:val="single" w:color="000000" w:sz="4" w:space="0"/>
            </w:tcBorders>
            <w:noWrap w:val="0"/>
            <w:vAlign w:val="center"/>
          </w:tcPr>
          <w:p>
            <w:pPr>
              <w:pStyle w:val="6"/>
              <w:jc w:val="center"/>
            </w:pPr>
            <w:r>
              <w:t>实施单位</w:t>
            </w:r>
          </w:p>
        </w:tc>
        <w:tc>
          <w:tcPr>
            <w:tcW w:w="2577" w:type="dxa"/>
            <w:gridSpan w:val="3"/>
            <w:tcBorders>
              <w:top w:val="single" w:color="auto" w:sz="4" w:space="0"/>
              <w:left w:val="nil"/>
              <w:bottom w:val="single" w:color="auto" w:sz="4" w:space="0"/>
              <w:right w:val="single" w:color="auto" w:sz="4" w:space="0"/>
            </w:tcBorders>
            <w:noWrap w:val="0"/>
            <w:vAlign w:val="center"/>
          </w:tcPr>
          <w:p>
            <w:pPr>
              <w:pStyle w:val="6"/>
              <w:jc w:val="center"/>
            </w:pPr>
            <w:r>
              <w:rPr>
                <w:rFonts w:hint="eastAsia"/>
              </w:rPr>
              <w:t>长沙市青少年宫</w:t>
            </w:r>
          </w:p>
        </w:tc>
      </w:tr>
      <w:tr>
        <w:tblPrEx>
          <w:tblCellMar>
            <w:top w:w="0" w:type="dxa"/>
            <w:left w:w="57" w:type="dxa"/>
            <w:bottom w:w="0" w:type="dxa"/>
            <w:right w:w="57" w:type="dxa"/>
          </w:tblCellMar>
        </w:tblPrEx>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pStyle w:val="6"/>
              <w:jc w:val="center"/>
            </w:pPr>
            <w:r>
              <w:t>项目资金</w:t>
            </w:r>
          </w:p>
          <w:p>
            <w:pPr>
              <w:pStyle w:val="6"/>
              <w:jc w:val="center"/>
            </w:pPr>
            <w:r>
              <w:t>（万元）</w:t>
            </w:r>
          </w:p>
        </w:tc>
        <w:tc>
          <w:tcPr>
            <w:tcW w:w="2070" w:type="dxa"/>
            <w:gridSpan w:val="2"/>
            <w:tcBorders>
              <w:top w:val="nil"/>
              <w:left w:val="nil"/>
              <w:bottom w:val="single" w:color="auto" w:sz="4" w:space="0"/>
              <w:right w:val="single" w:color="auto" w:sz="4" w:space="0"/>
            </w:tcBorders>
            <w:noWrap w:val="0"/>
            <w:vAlign w:val="center"/>
          </w:tcPr>
          <w:p>
            <w:pPr>
              <w:pStyle w:val="6"/>
              <w:jc w:val="center"/>
            </w:pPr>
          </w:p>
        </w:tc>
        <w:tc>
          <w:tcPr>
            <w:tcW w:w="900" w:type="dxa"/>
            <w:tcBorders>
              <w:top w:val="nil"/>
              <w:left w:val="nil"/>
              <w:bottom w:val="single" w:color="auto" w:sz="4" w:space="0"/>
              <w:right w:val="single" w:color="auto" w:sz="4" w:space="0"/>
            </w:tcBorders>
            <w:noWrap w:val="0"/>
            <w:vAlign w:val="center"/>
          </w:tcPr>
          <w:p>
            <w:pPr>
              <w:pStyle w:val="6"/>
              <w:jc w:val="center"/>
            </w:pPr>
            <w:r>
              <w:t>年初</w:t>
            </w:r>
          </w:p>
          <w:p>
            <w:pPr>
              <w:pStyle w:val="6"/>
              <w:jc w:val="center"/>
            </w:pPr>
            <w:r>
              <w:t>预算数</w:t>
            </w:r>
          </w:p>
        </w:tc>
        <w:tc>
          <w:tcPr>
            <w:tcW w:w="855" w:type="dxa"/>
            <w:tcBorders>
              <w:top w:val="nil"/>
              <w:left w:val="nil"/>
              <w:bottom w:val="single" w:color="auto" w:sz="4" w:space="0"/>
              <w:right w:val="single" w:color="auto" w:sz="4" w:space="0"/>
            </w:tcBorders>
            <w:noWrap w:val="0"/>
            <w:vAlign w:val="center"/>
          </w:tcPr>
          <w:p>
            <w:pPr>
              <w:pStyle w:val="6"/>
              <w:jc w:val="center"/>
            </w:pPr>
            <w:r>
              <w:t>全年</w:t>
            </w:r>
          </w:p>
          <w:p>
            <w:pPr>
              <w:pStyle w:val="6"/>
              <w:jc w:val="center"/>
            </w:pPr>
            <w:r>
              <w:t>预算数</w:t>
            </w:r>
          </w:p>
        </w:tc>
        <w:tc>
          <w:tcPr>
            <w:tcW w:w="975" w:type="dxa"/>
            <w:tcBorders>
              <w:top w:val="nil"/>
              <w:left w:val="nil"/>
              <w:bottom w:val="single" w:color="auto" w:sz="4" w:space="0"/>
              <w:right w:val="single" w:color="auto" w:sz="4" w:space="0"/>
            </w:tcBorders>
            <w:noWrap w:val="0"/>
            <w:vAlign w:val="center"/>
          </w:tcPr>
          <w:p>
            <w:pPr>
              <w:pStyle w:val="6"/>
              <w:jc w:val="center"/>
            </w:pPr>
            <w:r>
              <w:t>全年</w:t>
            </w:r>
          </w:p>
          <w:p>
            <w:pPr>
              <w:pStyle w:val="6"/>
              <w:jc w:val="center"/>
            </w:pPr>
            <w:r>
              <w:t>执行数</w:t>
            </w:r>
          </w:p>
        </w:tc>
        <w:tc>
          <w:tcPr>
            <w:tcW w:w="560" w:type="dxa"/>
            <w:tcBorders>
              <w:top w:val="nil"/>
              <w:left w:val="nil"/>
              <w:bottom w:val="single" w:color="auto" w:sz="4" w:space="0"/>
              <w:right w:val="single" w:color="auto" w:sz="4" w:space="0"/>
            </w:tcBorders>
            <w:noWrap w:val="0"/>
            <w:vAlign w:val="center"/>
          </w:tcPr>
          <w:p>
            <w:pPr>
              <w:pStyle w:val="6"/>
              <w:jc w:val="center"/>
            </w:pPr>
            <w:r>
              <w:t>分值</w:t>
            </w:r>
          </w:p>
        </w:tc>
        <w:tc>
          <w:tcPr>
            <w:tcW w:w="913" w:type="dxa"/>
            <w:tcBorders>
              <w:top w:val="nil"/>
              <w:left w:val="nil"/>
              <w:bottom w:val="single" w:color="auto" w:sz="4" w:space="0"/>
              <w:right w:val="single" w:color="auto" w:sz="4" w:space="0"/>
            </w:tcBorders>
            <w:noWrap w:val="0"/>
            <w:vAlign w:val="center"/>
          </w:tcPr>
          <w:p>
            <w:pPr>
              <w:pStyle w:val="6"/>
              <w:jc w:val="center"/>
            </w:pPr>
            <w:r>
              <w:t>执行率</w:t>
            </w:r>
          </w:p>
        </w:tc>
        <w:tc>
          <w:tcPr>
            <w:tcW w:w="1104" w:type="dxa"/>
            <w:tcBorders>
              <w:top w:val="nil"/>
              <w:left w:val="nil"/>
              <w:bottom w:val="single" w:color="auto" w:sz="4" w:space="0"/>
              <w:right w:val="single" w:color="auto" w:sz="4" w:space="0"/>
            </w:tcBorders>
            <w:noWrap w:val="0"/>
            <w:vAlign w:val="center"/>
          </w:tcPr>
          <w:p>
            <w:pPr>
              <w:pStyle w:val="6"/>
              <w:jc w:val="center"/>
            </w:pPr>
            <w:r>
              <w:t>得分</w:t>
            </w:r>
          </w:p>
        </w:tc>
      </w:tr>
      <w:tr>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jc w:val="center"/>
            </w:pPr>
          </w:p>
        </w:tc>
        <w:tc>
          <w:tcPr>
            <w:tcW w:w="2070" w:type="dxa"/>
            <w:gridSpan w:val="2"/>
            <w:tcBorders>
              <w:top w:val="nil"/>
              <w:left w:val="nil"/>
              <w:bottom w:val="single" w:color="auto" w:sz="4" w:space="0"/>
              <w:right w:val="single" w:color="auto" w:sz="4" w:space="0"/>
            </w:tcBorders>
            <w:noWrap w:val="0"/>
            <w:vAlign w:val="center"/>
          </w:tcPr>
          <w:p>
            <w:pPr>
              <w:pStyle w:val="6"/>
              <w:jc w:val="center"/>
            </w:pPr>
            <w:r>
              <w:t>年度资金总额</w:t>
            </w:r>
          </w:p>
        </w:tc>
        <w:tc>
          <w:tcPr>
            <w:tcW w:w="900" w:type="dxa"/>
            <w:tcBorders>
              <w:top w:val="nil"/>
              <w:left w:val="nil"/>
              <w:bottom w:val="single" w:color="auto" w:sz="4" w:space="0"/>
              <w:right w:val="single" w:color="auto" w:sz="4" w:space="0"/>
            </w:tcBorders>
            <w:noWrap w:val="0"/>
            <w:vAlign w:val="center"/>
          </w:tcPr>
          <w:p>
            <w:pPr>
              <w:pStyle w:val="6"/>
              <w:jc w:val="center"/>
              <w:rPr>
                <w:szCs w:val="21"/>
              </w:rPr>
            </w:pPr>
            <w:r>
              <w:t>4</w:t>
            </w:r>
            <w:r>
              <w:rPr>
                <w:rFonts w:hint="eastAsia"/>
              </w:rPr>
              <w:t>38.08</w:t>
            </w:r>
          </w:p>
        </w:tc>
        <w:tc>
          <w:tcPr>
            <w:tcW w:w="855" w:type="dxa"/>
            <w:tcBorders>
              <w:top w:val="nil"/>
              <w:left w:val="nil"/>
              <w:bottom w:val="single" w:color="auto" w:sz="4" w:space="0"/>
              <w:right w:val="single" w:color="auto" w:sz="4" w:space="0"/>
            </w:tcBorders>
            <w:noWrap w:val="0"/>
            <w:vAlign w:val="center"/>
          </w:tcPr>
          <w:p>
            <w:pPr>
              <w:pStyle w:val="6"/>
              <w:jc w:val="center"/>
              <w:rPr>
                <w:szCs w:val="21"/>
              </w:rPr>
            </w:pPr>
            <w:r>
              <w:rPr>
                <w:rFonts w:hint="eastAsia"/>
              </w:rPr>
              <w:t>438.08</w:t>
            </w:r>
          </w:p>
        </w:tc>
        <w:tc>
          <w:tcPr>
            <w:tcW w:w="975" w:type="dxa"/>
            <w:tcBorders>
              <w:top w:val="nil"/>
              <w:left w:val="nil"/>
              <w:bottom w:val="single" w:color="auto" w:sz="4" w:space="0"/>
              <w:right w:val="single" w:color="auto" w:sz="4" w:space="0"/>
            </w:tcBorders>
            <w:noWrap w:val="0"/>
            <w:vAlign w:val="center"/>
          </w:tcPr>
          <w:p>
            <w:pPr>
              <w:pStyle w:val="6"/>
              <w:jc w:val="center"/>
            </w:pPr>
            <w:r>
              <w:rPr>
                <w:rFonts w:hint="eastAsia"/>
                <w:kern w:val="0"/>
              </w:rPr>
              <w:t>227.02</w:t>
            </w:r>
          </w:p>
        </w:tc>
        <w:tc>
          <w:tcPr>
            <w:tcW w:w="560" w:type="dxa"/>
            <w:tcBorders>
              <w:top w:val="nil"/>
              <w:left w:val="nil"/>
              <w:bottom w:val="single" w:color="auto" w:sz="4" w:space="0"/>
              <w:right w:val="single" w:color="auto" w:sz="4" w:space="0"/>
            </w:tcBorders>
            <w:noWrap w:val="0"/>
            <w:vAlign w:val="center"/>
          </w:tcPr>
          <w:p>
            <w:pPr>
              <w:pStyle w:val="6"/>
              <w:jc w:val="center"/>
            </w:pPr>
            <w:r>
              <w:t>10</w:t>
            </w:r>
          </w:p>
        </w:tc>
        <w:tc>
          <w:tcPr>
            <w:tcW w:w="913" w:type="dxa"/>
            <w:tcBorders>
              <w:top w:val="nil"/>
              <w:left w:val="nil"/>
              <w:bottom w:val="single" w:color="auto" w:sz="4" w:space="0"/>
              <w:right w:val="single" w:color="auto" w:sz="4" w:space="0"/>
            </w:tcBorders>
            <w:noWrap w:val="0"/>
            <w:vAlign w:val="center"/>
          </w:tcPr>
          <w:p>
            <w:pPr>
              <w:pStyle w:val="6"/>
              <w:jc w:val="center"/>
            </w:pPr>
            <w:r>
              <w:rPr>
                <w:rFonts w:hint="eastAsia"/>
              </w:rPr>
              <w:t>51.82%</w:t>
            </w:r>
          </w:p>
        </w:tc>
        <w:tc>
          <w:tcPr>
            <w:tcW w:w="1104" w:type="dxa"/>
            <w:tcBorders>
              <w:top w:val="nil"/>
              <w:left w:val="nil"/>
              <w:bottom w:val="single" w:color="auto" w:sz="4" w:space="0"/>
              <w:right w:val="single" w:color="auto" w:sz="4" w:space="0"/>
            </w:tcBorders>
            <w:noWrap w:val="0"/>
            <w:vAlign w:val="center"/>
          </w:tcPr>
          <w:p>
            <w:pPr>
              <w:pStyle w:val="6"/>
              <w:jc w:val="center"/>
            </w:pPr>
            <w:r>
              <w:rPr>
                <w:rFonts w:hint="eastAsia"/>
              </w:rPr>
              <w:t>5.18</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jc w:val="center"/>
            </w:pPr>
          </w:p>
        </w:tc>
        <w:tc>
          <w:tcPr>
            <w:tcW w:w="2070" w:type="dxa"/>
            <w:gridSpan w:val="2"/>
            <w:tcBorders>
              <w:top w:val="nil"/>
              <w:left w:val="nil"/>
              <w:bottom w:val="single" w:color="auto" w:sz="4" w:space="0"/>
              <w:right w:val="single" w:color="auto" w:sz="4" w:space="0"/>
            </w:tcBorders>
            <w:noWrap w:val="0"/>
            <w:vAlign w:val="center"/>
          </w:tcPr>
          <w:p>
            <w:pPr>
              <w:pStyle w:val="6"/>
              <w:jc w:val="center"/>
            </w:pPr>
            <w:r>
              <w:t>其中：当年财政拨款</w:t>
            </w:r>
          </w:p>
        </w:tc>
        <w:tc>
          <w:tcPr>
            <w:tcW w:w="900" w:type="dxa"/>
            <w:tcBorders>
              <w:top w:val="nil"/>
              <w:left w:val="nil"/>
              <w:bottom w:val="single" w:color="auto" w:sz="4" w:space="0"/>
              <w:right w:val="single" w:color="auto" w:sz="4" w:space="0"/>
            </w:tcBorders>
            <w:noWrap w:val="0"/>
            <w:vAlign w:val="center"/>
          </w:tcPr>
          <w:p>
            <w:pPr>
              <w:pStyle w:val="6"/>
              <w:jc w:val="center"/>
            </w:pPr>
          </w:p>
        </w:tc>
        <w:tc>
          <w:tcPr>
            <w:tcW w:w="855" w:type="dxa"/>
            <w:tcBorders>
              <w:top w:val="nil"/>
              <w:left w:val="nil"/>
              <w:bottom w:val="single" w:color="auto" w:sz="4" w:space="0"/>
              <w:right w:val="single" w:color="auto" w:sz="4" w:space="0"/>
            </w:tcBorders>
            <w:noWrap w:val="0"/>
            <w:vAlign w:val="center"/>
          </w:tcPr>
          <w:p>
            <w:pPr>
              <w:pStyle w:val="6"/>
              <w:jc w:val="center"/>
            </w:pPr>
          </w:p>
        </w:tc>
        <w:tc>
          <w:tcPr>
            <w:tcW w:w="975" w:type="dxa"/>
            <w:tcBorders>
              <w:top w:val="nil"/>
              <w:left w:val="nil"/>
              <w:bottom w:val="single" w:color="auto" w:sz="4" w:space="0"/>
              <w:right w:val="single" w:color="auto" w:sz="4" w:space="0"/>
            </w:tcBorders>
            <w:noWrap w:val="0"/>
            <w:vAlign w:val="center"/>
          </w:tcPr>
          <w:p>
            <w:pPr>
              <w:pStyle w:val="6"/>
              <w:jc w:val="center"/>
            </w:pPr>
          </w:p>
        </w:tc>
        <w:tc>
          <w:tcPr>
            <w:tcW w:w="560" w:type="dxa"/>
            <w:tcBorders>
              <w:top w:val="nil"/>
              <w:left w:val="nil"/>
              <w:bottom w:val="single" w:color="auto" w:sz="4" w:space="0"/>
              <w:right w:val="single" w:color="auto" w:sz="4" w:space="0"/>
            </w:tcBorders>
            <w:noWrap w:val="0"/>
            <w:vAlign w:val="center"/>
          </w:tcPr>
          <w:p>
            <w:pPr>
              <w:pStyle w:val="6"/>
              <w:jc w:val="center"/>
            </w:pPr>
          </w:p>
        </w:tc>
        <w:tc>
          <w:tcPr>
            <w:tcW w:w="913" w:type="dxa"/>
            <w:tcBorders>
              <w:top w:val="nil"/>
              <w:left w:val="nil"/>
              <w:bottom w:val="single" w:color="auto" w:sz="4" w:space="0"/>
              <w:right w:val="single" w:color="auto" w:sz="4" w:space="0"/>
            </w:tcBorders>
            <w:noWrap w:val="0"/>
            <w:vAlign w:val="center"/>
          </w:tcPr>
          <w:p>
            <w:pPr>
              <w:pStyle w:val="6"/>
              <w:jc w:val="center"/>
            </w:pPr>
          </w:p>
        </w:tc>
        <w:tc>
          <w:tcPr>
            <w:tcW w:w="1104" w:type="dxa"/>
            <w:tcBorders>
              <w:top w:val="nil"/>
              <w:left w:val="nil"/>
              <w:bottom w:val="single" w:color="auto" w:sz="4" w:space="0"/>
              <w:right w:val="single" w:color="auto" w:sz="4" w:space="0"/>
            </w:tcBorders>
            <w:noWrap w:val="0"/>
            <w:vAlign w:val="center"/>
          </w:tcPr>
          <w:p>
            <w:pPr>
              <w:pStyle w:val="6"/>
              <w:jc w:val="center"/>
            </w:pPr>
          </w:p>
        </w:tc>
      </w:tr>
      <w:tr>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jc w:val="center"/>
            </w:pPr>
          </w:p>
        </w:tc>
        <w:tc>
          <w:tcPr>
            <w:tcW w:w="2070" w:type="dxa"/>
            <w:gridSpan w:val="2"/>
            <w:tcBorders>
              <w:top w:val="nil"/>
              <w:left w:val="nil"/>
              <w:bottom w:val="single" w:color="auto" w:sz="4" w:space="0"/>
              <w:right w:val="single" w:color="auto" w:sz="4" w:space="0"/>
            </w:tcBorders>
            <w:noWrap w:val="0"/>
            <w:vAlign w:val="center"/>
          </w:tcPr>
          <w:p>
            <w:pPr>
              <w:pStyle w:val="6"/>
              <w:ind w:firstLine="630" w:firstLineChars="300"/>
              <w:jc w:val="center"/>
            </w:pPr>
            <w:r>
              <w:t>上年结转资金</w:t>
            </w:r>
          </w:p>
        </w:tc>
        <w:tc>
          <w:tcPr>
            <w:tcW w:w="900" w:type="dxa"/>
            <w:tcBorders>
              <w:top w:val="nil"/>
              <w:left w:val="nil"/>
              <w:bottom w:val="single" w:color="auto" w:sz="4" w:space="0"/>
              <w:right w:val="single" w:color="auto" w:sz="4" w:space="0"/>
            </w:tcBorders>
            <w:noWrap w:val="0"/>
            <w:vAlign w:val="center"/>
          </w:tcPr>
          <w:p>
            <w:pPr>
              <w:pStyle w:val="6"/>
              <w:jc w:val="center"/>
            </w:pPr>
          </w:p>
        </w:tc>
        <w:tc>
          <w:tcPr>
            <w:tcW w:w="855" w:type="dxa"/>
            <w:tcBorders>
              <w:top w:val="nil"/>
              <w:left w:val="nil"/>
              <w:bottom w:val="single" w:color="auto" w:sz="4" w:space="0"/>
              <w:right w:val="single" w:color="auto" w:sz="4" w:space="0"/>
            </w:tcBorders>
            <w:noWrap w:val="0"/>
            <w:vAlign w:val="center"/>
          </w:tcPr>
          <w:p>
            <w:pPr>
              <w:pStyle w:val="6"/>
              <w:jc w:val="center"/>
            </w:pPr>
          </w:p>
        </w:tc>
        <w:tc>
          <w:tcPr>
            <w:tcW w:w="975" w:type="dxa"/>
            <w:tcBorders>
              <w:top w:val="nil"/>
              <w:left w:val="nil"/>
              <w:bottom w:val="single" w:color="auto" w:sz="4" w:space="0"/>
              <w:right w:val="single" w:color="auto" w:sz="4" w:space="0"/>
            </w:tcBorders>
            <w:noWrap w:val="0"/>
            <w:vAlign w:val="center"/>
          </w:tcPr>
          <w:p>
            <w:pPr>
              <w:pStyle w:val="6"/>
              <w:jc w:val="center"/>
            </w:pPr>
          </w:p>
        </w:tc>
        <w:tc>
          <w:tcPr>
            <w:tcW w:w="560" w:type="dxa"/>
            <w:tcBorders>
              <w:top w:val="nil"/>
              <w:left w:val="nil"/>
              <w:bottom w:val="single" w:color="auto" w:sz="4" w:space="0"/>
              <w:right w:val="single" w:color="auto" w:sz="4" w:space="0"/>
            </w:tcBorders>
            <w:noWrap w:val="0"/>
            <w:vAlign w:val="center"/>
          </w:tcPr>
          <w:p>
            <w:pPr>
              <w:pStyle w:val="6"/>
              <w:jc w:val="center"/>
            </w:pPr>
          </w:p>
        </w:tc>
        <w:tc>
          <w:tcPr>
            <w:tcW w:w="913" w:type="dxa"/>
            <w:tcBorders>
              <w:top w:val="nil"/>
              <w:left w:val="nil"/>
              <w:bottom w:val="single" w:color="auto" w:sz="4" w:space="0"/>
              <w:right w:val="single" w:color="auto" w:sz="4" w:space="0"/>
            </w:tcBorders>
            <w:noWrap w:val="0"/>
            <w:vAlign w:val="center"/>
          </w:tcPr>
          <w:p>
            <w:pPr>
              <w:pStyle w:val="6"/>
              <w:jc w:val="center"/>
            </w:pPr>
          </w:p>
        </w:tc>
        <w:tc>
          <w:tcPr>
            <w:tcW w:w="1104" w:type="dxa"/>
            <w:tcBorders>
              <w:top w:val="nil"/>
              <w:left w:val="nil"/>
              <w:bottom w:val="single" w:color="auto" w:sz="4" w:space="0"/>
              <w:right w:val="single" w:color="auto" w:sz="4" w:space="0"/>
            </w:tcBorders>
            <w:noWrap w:val="0"/>
            <w:vAlign w:val="center"/>
          </w:tcPr>
          <w:p>
            <w:pPr>
              <w:pStyle w:val="6"/>
              <w:jc w:val="center"/>
            </w:pP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jc w:val="center"/>
            </w:pPr>
          </w:p>
        </w:tc>
        <w:tc>
          <w:tcPr>
            <w:tcW w:w="2070" w:type="dxa"/>
            <w:gridSpan w:val="2"/>
            <w:tcBorders>
              <w:top w:val="nil"/>
              <w:left w:val="nil"/>
              <w:bottom w:val="single" w:color="auto" w:sz="4" w:space="0"/>
              <w:right w:val="single" w:color="auto" w:sz="4" w:space="0"/>
            </w:tcBorders>
            <w:noWrap w:val="0"/>
            <w:vAlign w:val="center"/>
          </w:tcPr>
          <w:p>
            <w:pPr>
              <w:pStyle w:val="6"/>
              <w:ind w:firstLine="630" w:firstLineChars="300"/>
              <w:jc w:val="center"/>
            </w:pPr>
            <w:r>
              <w:t>其他资金</w:t>
            </w:r>
          </w:p>
        </w:tc>
        <w:tc>
          <w:tcPr>
            <w:tcW w:w="900" w:type="dxa"/>
            <w:tcBorders>
              <w:top w:val="nil"/>
              <w:left w:val="nil"/>
              <w:bottom w:val="single" w:color="auto" w:sz="4" w:space="0"/>
              <w:right w:val="single" w:color="auto" w:sz="4" w:space="0"/>
            </w:tcBorders>
            <w:noWrap w:val="0"/>
            <w:vAlign w:val="center"/>
          </w:tcPr>
          <w:p>
            <w:pPr>
              <w:pStyle w:val="6"/>
              <w:jc w:val="center"/>
            </w:pPr>
          </w:p>
        </w:tc>
        <w:tc>
          <w:tcPr>
            <w:tcW w:w="855" w:type="dxa"/>
            <w:tcBorders>
              <w:top w:val="nil"/>
              <w:left w:val="nil"/>
              <w:bottom w:val="single" w:color="auto" w:sz="4" w:space="0"/>
              <w:right w:val="single" w:color="auto" w:sz="4" w:space="0"/>
            </w:tcBorders>
            <w:noWrap w:val="0"/>
            <w:vAlign w:val="center"/>
          </w:tcPr>
          <w:p>
            <w:pPr>
              <w:pStyle w:val="6"/>
              <w:jc w:val="center"/>
            </w:pPr>
          </w:p>
        </w:tc>
        <w:tc>
          <w:tcPr>
            <w:tcW w:w="975" w:type="dxa"/>
            <w:tcBorders>
              <w:top w:val="nil"/>
              <w:left w:val="nil"/>
              <w:bottom w:val="single" w:color="auto" w:sz="4" w:space="0"/>
              <w:right w:val="single" w:color="auto" w:sz="4" w:space="0"/>
            </w:tcBorders>
            <w:noWrap w:val="0"/>
            <w:vAlign w:val="center"/>
          </w:tcPr>
          <w:p>
            <w:pPr>
              <w:pStyle w:val="6"/>
              <w:jc w:val="center"/>
            </w:pPr>
          </w:p>
        </w:tc>
        <w:tc>
          <w:tcPr>
            <w:tcW w:w="560" w:type="dxa"/>
            <w:tcBorders>
              <w:top w:val="nil"/>
              <w:left w:val="nil"/>
              <w:bottom w:val="single" w:color="auto" w:sz="4" w:space="0"/>
              <w:right w:val="single" w:color="auto" w:sz="4" w:space="0"/>
            </w:tcBorders>
            <w:noWrap w:val="0"/>
            <w:vAlign w:val="center"/>
          </w:tcPr>
          <w:p>
            <w:pPr>
              <w:pStyle w:val="6"/>
              <w:jc w:val="center"/>
            </w:pPr>
          </w:p>
        </w:tc>
        <w:tc>
          <w:tcPr>
            <w:tcW w:w="913" w:type="dxa"/>
            <w:tcBorders>
              <w:top w:val="nil"/>
              <w:left w:val="nil"/>
              <w:bottom w:val="single" w:color="auto" w:sz="4" w:space="0"/>
              <w:right w:val="single" w:color="auto" w:sz="4" w:space="0"/>
            </w:tcBorders>
            <w:noWrap w:val="0"/>
            <w:vAlign w:val="center"/>
          </w:tcPr>
          <w:p>
            <w:pPr>
              <w:pStyle w:val="6"/>
              <w:jc w:val="center"/>
            </w:pPr>
          </w:p>
        </w:tc>
        <w:tc>
          <w:tcPr>
            <w:tcW w:w="1104" w:type="dxa"/>
            <w:tcBorders>
              <w:top w:val="nil"/>
              <w:left w:val="nil"/>
              <w:bottom w:val="single" w:color="auto" w:sz="4" w:space="0"/>
              <w:right w:val="single" w:color="auto" w:sz="4" w:space="0"/>
            </w:tcBorders>
            <w:noWrap w:val="0"/>
            <w:vAlign w:val="center"/>
          </w:tcPr>
          <w:p>
            <w:pPr>
              <w:pStyle w:val="6"/>
              <w:jc w:val="center"/>
            </w:pPr>
          </w:p>
        </w:tc>
      </w:tr>
      <w:tr>
        <w:trPr>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pStyle w:val="6"/>
              <w:jc w:val="center"/>
            </w:pPr>
            <w:r>
              <w:t>年</w:t>
            </w:r>
          </w:p>
          <w:p>
            <w:pPr>
              <w:pStyle w:val="6"/>
              <w:jc w:val="center"/>
            </w:pPr>
            <w:r>
              <w:t>度</w:t>
            </w:r>
          </w:p>
          <w:p>
            <w:pPr>
              <w:pStyle w:val="6"/>
              <w:jc w:val="center"/>
            </w:pPr>
            <w:r>
              <w:t>总</w:t>
            </w:r>
          </w:p>
          <w:p>
            <w:pPr>
              <w:pStyle w:val="6"/>
              <w:jc w:val="center"/>
            </w:pPr>
            <w:r>
              <w:t>体</w:t>
            </w:r>
          </w:p>
          <w:p>
            <w:pPr>
              <w:pStyle w:val="6"/>
              <w:jc w:val="center"/>
            </w:pPr>
            <w:r>
              <w:t>目</w:t>
            </w:r>
          </w:p>
          <w:p>
            <w:pPr>
              <w:pStyle w:val="6"/>
              <w:jc w:val="center"/>
            </w:pPr>
            <w:r>
              <w:t>标</w:t>
            </w:r>
          </w:p>
        </w:tc>
        <w:tc>
          <w:tcPr>
            <w:tcW w:w="3825" w:type="dxa"/>
            <w:gridSpan w:val="4"/>
            <w:tcBorders>
              <w:top w:val="single" w:color="auto" w:sz="4" w:space="0"/>
              <w:left w:val="nil"/>
              <w:bottom w:val="single" w:color="auto" w:sz="4" w:space="0"/>
              <w:right w:val="single" w:color="000000" w:sz="4" w:space="0"/>
            </w:tcBorders>
            <w:noWrap w:val="0"/>
            <w:vAlign w:val="center"/>
          </w:tcPr>
          <w:p>
            <w:pPr>
              <w:pStyle w:val="6"/>
              <w:jc w:val="center"/>
            </w:pPr>
            <w:r>
              <w:t>年度目标</w:t>
            </w:r>
          </w:p>
        </w:tc>
        <w:tc>
          <w:tcPr>
            <w:tcW w:w="3552" w:type="dxa"/>
            <w:gridSpan w:val="4"/>
            <w:tcBorders>
              <w:top w:val="single" w:color="auto" w:sz="4" w:space="0"/>
              <w:left w:val="nil"/>
              <w:bottom w:val="single" w:color="auto" w:sz="4" w:space="0"/>
              <w:right w:val="single" w:color="auto" w:sz="4" w:space="0"/>
            </w:tcBorders>
            <w:noWrap w:val="0"/>
            <w:vAlign w:val="center"/>
          </w:tcPr>
          <w:p>
            <w:pPr>
              <w:pStyle w:val="6"/>
              <w:jc w:val="center"/>
            </w:pPr>
            <w:r>
              <w:t>实际完成情况</w:t>
            </w:r>
          </w:p>
        </w:tc>
      </w:tr>
      <w:tr>
        <w:tblPrEx>
          <w:tblCellMar>
            <w:top w:w="0" w:type="dxa"/>
            <w:left w:w="57" w:type="dxa"/>
            <w:bottom w:w="0" w:type="dxa"/>
            <w:right w:w="57" w:type="dxa"/>
          </w:tblCellMar>
        </w:tblPrEx>
        <w:trPr>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jc w:val="center"/>
            </w:pPr>
          </w:p>
        </w:tc>
        <w:tc>
          <w:tcPr>
            <w:tcW w:w="3825" w:type="dxa"/>
            <w:gridSpan w:val="4"/>
            <w:tcBorders>
              <w:top w:val="single" w:color="auto" w:sz="4" w:space="0"/>
              <w:left w:val="nil"/>
              <w:bottom w:val="single" w:color="auto" w:sz="4" w:space="0"/>
              <w:right w:val="single" w:color="000000" w:sz="4" w:space="0"/>
            </w:tcBorders>
            <w:noWrap w:val="0"/>
            <w:vAlign w:val="center"/>
          </w:tcPr>
          <w:p>
            <w:pPr>
              <w:pStyle w:val="6"/>
              <w:jc w:val="center"/>
              <w:rPr>
                <w:szCs w:val="21"/>
              </w:rPr>
            </w:pPr>
            <w:r>
              <w:t>在市委、市政府的正确领导下，在市直各单位的大力支持下，2018年11月新青少年宫场馆部分场馆对外试运营。由于新青少年宫建设项目原概算编制较早、起点较低，存在很多不完善的地方，甚至还有一些缺项和漏项，离市委市政府要求的建成“理念先进、功能完善、全国一流、市民满意”的新青少年宫还有差距。2017年第48次市委常委议事协调会议同意将新青少年宫后续建设项目、A、B区设备设施升级项目重新立项，对青少年宫进行</w:t>
            </w:r>
            <w:r>
              <w:rPr>
                <w:rFonts w:hint="eastAsia"/>
              </w:rPr>
              <w:t>提</w:t>
            </w:r>
            <w:r>
              <w:t>质升级改造</w:t>
            </w:r>
            <w:r>
              <w:rPr>
                <w:rFonts w:hint="eastAsia"/>
              </w:rPr>
              <w:t>，</w:t>
            </w:r>
            <w:r>
              <w:t>目前新青少年宫后续建设项目施工总承包已完成评审，审定后新青少年宫后续建设项目总金额1766.38万元，已支付1303.1万元，申请拨付新青少年宫后续建设项目剩余款项463.28万元。</w:t>
            </w:r>
          </w:p>
        </w:tc>
        <w:tc>
          <w:tcPr>
            <w:tcW w:w="3552" w:type="dxa"/>
            <w:gridSpan w:val="4"/>
            <w:tcBorders>
              <w:top w:val="single" w:color="auto" w:sz="4" w:space="0"/>
              <w:left w:val="nil"/>
              <w:bottom w:val="single" w:color="auto" w:sz="4" w:space="0"/>
              <w:right w:val="single" w:color="auto" w:sz="4" w:space="0"/>
            </w:tcBorders>
            <w:noWrap w:val="0"/>
            <w:vAlign w:val="center"/>
          </w:tcPr>
          <w:p>
            <w:pPr>
              <w:pStyle w:val="6"/>
              <w:jc w:val="center"/>
            </w:pPr>
            <w:r>
              <w:rPr>
                <w:rFonts w:hint="eastAsia"/>
              </w:rPr>
              <w:t>2023年度，长沙市青少年宫支付北京航天万源建筑工程有限责任公司设计施工工程费141万元；支付湖南省硅谷项目管理有限公司监理费9.1万元；支付湖南世光家具有限公司教学家具费77万元；共计支付227.02万元。</w:t>
            </w:r>
          </w:p>
        </w:tc>
      </w:tr>
      <w:tr>
        <w:trPr>
          <w:trHeight w:val="23" w:hRule="atLeast"/>
          <w:jc w:val="center"/>
        </w:trPr>
        <w:tc>
          <w:tcPr>
            <w:tcW w:w="1467" w:type="dxa"/>
            <w:vMerge w:val="restart"/>
            <w:tcBorders>
              <w:top w:val="nil"/>
              <w:left w:val="single" w:color="auto" w:sz="4" w:space="0"/>
              <w:right w:val="single" w:color="auto" w:sz="4" w:space="0"/>
            </w:tcBorders>
            <w:noWrap w:val="0"/>
            <w:vAlign w:val="center"/>
          </w:tcPr>
          <w:p>
            <w:pPr>
              <w:pStyle w:val="6"/>
              <w:jc w:val="center"/>
            </w:pPr>
            <w:r>
              <w:t>绩</w:t>
            </w:r>
          </w:p>
          <w:p>
            <w:pPr>
              <w:pStyle w:val="6"/>
              <w:jc w:val="center"/>
            </w:pPr>
            <w:r>
              <w:t>效</w:t>
            </w:r>
          </w:p>
          <w:p>
            <w:pPr>
              <w:pStyle w:val="6"/>
              <w:jc w:val="center"/>
            </w:pPr>
            <w:r>
              <w:t>指</w:t>
            </w:r>
          </w:p>
          <w:p>
            <w:pPr>
              <w:pStyle w:val="6"/>
              <w:jc w:val="center"/>
            </w:pPr>
            <w:r>
              <w:t>标</w:t>
            </w:r>
          </w:p>
        </w:tc>
        <w:tc>
          <w:tcPr>
            <w:tcW w:w="750" w:type="dxa"/>
            <w:tcBorders>
              <w:top w:val="nil"/>
              <w:left w:val="nil"/>
              <w:bottom w:val="single" w:color="auto" w:sz="4" w:space="0"/>
              <w:right w:val="single" w:color="auto" w:sz="4" w:space="0"/>
            </w:tcBorders>
            <w:noWrap w:val="0"/>
            <w:vAlign w:val="center"/>
          </w:tcPr>
          <w:p>
            <w:pPr>
              <w:pStyle w:val="6"/>
              <w:jc w:val="center"/>
            </w:pPr>
            <w:r>
              <w:t>一级</w:t>
            </w:r>
          </w:p>
          <w:p>
            <w:pPr>
              <w:pStyle w:val="6"/>
              <w:jc w:val="center"/>
            </w:pPr>
            <w:r>
              <w:t>指标</w:t>
            </w:r>
          </w:p>
        </w:tc>
        <w:tc>
          <w:tcPr>
            <w:tcW w:w="1320" w:type="dxa"/>
            <w:tcBorders>
              <w:top w:val="nil"/>
              <w:left w:val="nil"/>
              <w:bottom w:val="single" w:color="auto" w:sz="4" w:space="0"/>
              <w:right w:val="single" w:color="auto" w:sz="4" w:space="0"/>
            </w:tcBorders>
            <w:noWrap w:val="0"/>
            <w:vAlign w:val="center"/>
          </w:tcPr>
          <w:p>
            <w:pPr>
              <w:pStyle w:val="6"/>
              <w:jc w:val="center"/>
            </w:pPr>
            <w:r>
              <w:t>二级</w:t>
            </w:r>
          </w:p>
          <w:p>
            <w:pPr>
              <w:pStyle w:val="6"/>
              <w:jc w:val="center"/>
            </w:pPr>
            <w:r>
              <w:t>指标</w:t>
            </w:r>
          </w:p>
        </w:tc>
        <w:tc>
          <w:tcPr>
            <w:tcW w:w="900" w:type="dxa"/>
            <w:tcBorders>
              <w:top w:val="nil"/>
              <w:left w:val="nil"/>
              <w:bottom w:val="single" w:color="auto" w:sz="4" w:space="0"/>
              <w:right w:val="single" w:color="auto" w:sz="4" w:space="0"/>
            </w:tcBorders>
            <w:noWrap w:val="0"/>
            <w:vAlign w:val="center"/>
          </w:tcPr>
          <w:p>
            <w:pPr>
              <w:pStyle w:val="6"/>
              <w:jc w:val="center"/>
            </w:pPr>
            <w:r>
              <w:t>三级指标内容</w:t>
            </w:r>
          </w:p>
        </w:tc>
        <w:tc>
          <w:tcPr>
            <w:tcW w:w="855" w:type="dxa"/>
            <w:tcBorders>
              <w:top w:val="nil"/>
              <w:left w:val="nil"/>
              <w:bottom w:val="single" w:color="auto" w:sz="4" w:space="0"/>
              <w:right w:val="single" w:color="auto" w:sz="4" w:space="0"/>
            </w:tcBorders>
            <w:noWrap w:val="0"/>
            <w:vAlign w:val="center"/>
          </w:tcPr>
          <w:p>
            <w:pPr>
              <w:pStyle w:val="6"/>
              <w:jc w:val="center"/>
            </w:pPr>
            <w:r>
              <w:t>年度</w:t>
            </w:r>
          </w:p>
          <w:p>
            <w:pPr>
              <w:pStyle w:val="6"/>
              <w:jc w:val="center"/>
            </w:pPr>
            <w:r>
              <w:t>指标值</w:t>
            </w:r>
          </w:p>
        </w:tc>
        <w:tc>
          <w:tcPr>
            <w:tcW w:w="975" w:type="dxa"/>
            <w:tcBorders>
              <w:top w:val="nil"/>
              <w:left w:val="nil"/>
              <w:bottom w:val="single" w:color="auto" w:sz="4" w:space="0"/>
              <w:right w:val="single" w:color="auto" w:sz="4" w:space="0"/>
            </w:tcBorders>
            <w:noWrap w:val="0"/>
            <w:vAlign w:val="center"/>
          </w:tcPr>
          <w:p>
            <w:pPr>
              <w:pStyle w:val="6"/>
              <w:jc w:val="center"/>
            </w:pPr>
            <w:r>
              <w:t>实际</w:t>
            </w:r>
          </w:p>
          <w:p>
            <w:pPr>
              <w:pStyle w:val="6"/>
              <w:jc w:val="center"/>
            </w:pPr>
            <w:r>
              <w:t>完成值</w:t>
            </w:r>
          </w:p>
        </w:tc>
        <w:tc>
          <w:tcPr>
            <w:tcW w:w="560" w:type="dxa"/>
            <w:tcBorders>
              <w:top w:val="nil"/>
              <w:left w:val="nil"/>
              <w:bottom w:val="single" w:color="auto" w:sz="4" w:space="0"/>
              <w:right w:val="single" w:color="auto" w:sz="4" w:space="0"/>
            </w:tcBorders>
            <w:noWrap w:val="0"/>
            <w:vAlign w:val="center"/>
          </w:tcPr>
          <w:p>
            <w:pPr>
              <w:pStyle w:val="6"/>
              <w:jc w:val="center"/>
            </w:pPr>
            <w:r>
              <w:t>分值</w:t>
            </w:r>
          </w:p>
        </w:tc>
        <w:tc>
          <w:tcPr>
            <w:tcW w:w="913" w:type="dxa"/>
            <w:tcBorders>
              <w:top w:val="nil"/>
              <w:left w:val="nil"/>
              <w:bottom w:val="single" w:color="auto" w:sz="4" w:space="0"/>
              <w:right w:val="single" w:color="auto" w:sz="4" w:space="0"/>
            </w:tcBorders>
            <w:noWrap w:val="0"/>
            <w:vAlign w:val="center"/>
          </w:tcPr>
          <w:p>
            <w:pPr>
              <w:pStyle w:val="6"/>
              <w:jc w:val="center"/>
            </w:pPr>
            <w:r>
              <w:t>得分</w:t>
            </w:r>
          </w:p>
        </w:tc>
        <w:tc>
          <w:tcPr>
            <w:tcW w:w="1104" w:type="dxa"/>
            <w:tcBorders>
              <w:top w:val="nil"/>
              <w:left w:val="nil"/>
              <w:bottom w:val="single" w:color="auto" w:sz="4" w:space="0"/>
              <w:right w:val="single" w:color="auto" w:sz="4" w:space="0"/>
            </w:tcBorders>
            <w:noWrap w:val="0"/>
            <w:vAlign w:val="center"/>
          </w:tcPr>
          <w:p>
            <w:pPr>
              <w:pStyle w:val="6"/>
              <w:jc w:val="center"/>
            </w:pPr>
            <w:r>
              <w:t>偏差原因分析及</w:t>
            </w:r>
          </w:p>
          <w:p>
            <w:pPr>
              <w:pStyle w:val="6"/>
              <w:jc w:val="center"/>
            </w:pPr>
            <w:r>
              <w:t>改进措施</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pStyle w:val="6"/>
              <w:jc w:val="center"/>
            </w:pPr>
          </w:p>
        </w:tc>
        <w:tc>
          <w:tcPr>
            <w:tcW w:w="750" w:type="dxa"/>
            <w:tcBorders>
              <w:top w:val="nil"/>
              <w:left w:val="nil"/>
              <w:right w:val="single" w:color="auto" w:sz="4" w:space="0"/>
            </w:tcBorders>
            <w:noWrap w:val="0"/>
            <w:vAlign w:val="center"/>
          </w:tcPr>
          <w:p>
            <w:pPr>
              <w:pStyle w:val="6"/>
              <w:jc w:val="center"/>
            </w:pPr>
            <w:r>
              <w:t>成本</w:t>
            </w:r>
          </w:p>
          <w:p>
            <w:pPr>
              <w:pStyle w:val="6"/>
              <w:jc w:val="center"/>
            </w:pPr>
            <w: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t>经济成本</w:t>
            </w:r>
          </w:p>
          <w:p>
            <w:pPr>
              <w:pStyle w:val="6"/>
              <w:jc w:val="center"/>
            </w:pPr>
            <w: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Cs w:val="21"/>
              </w:rPr>
            </w:pPr>
            <w:r>
              <w:t>新青少年宫后续建设项目剩余款项463.28万元</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Cs w:val="21"/>
              </w:rPr>
            </w:pPr>
            <w:r>
              <w:t>新青少年宫后续建设项目</w:t>
            </w:r>
            <w:r>
              <w:rPr>
                <w:rFonts w:hint="eastAsia"/>
              </w:rPr>
              <w:t>支付</w:t>
            </w:r>
            <w:r>
              <w:t>款项</w:t>
            </w:r>
            <w:r>
              <w:rPr>
                <w:rFonts w:hint="eastAsia"/>
              </w:rPr>
              <w:t>227.02</w:t>
            </w:r>
            <w:r>
              <w:t>万元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30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15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项目未按预期结算，注重预算编制的科学性、完整性。</w:t>
            </w:r>
          </w:p>
        </w:tc>
      </w:tr>
      <w:tr>
        <w:trPr>
          <w:trHeight w:val="23" w:hRule="atLeast"/>
          <w:jc w:val="center"/>
        </w:trPr>
        <w:tc>
          <w:tcPr>
            <w:tcW w:w="1467" w:type="dxa"/>
            <w:vMerge w:val="continue"/>
            <w:tcBorders>
              <w:left w:val="single" w:color="auto" w:sz="4" w:space="0"/>
              <w:right w:val="single" w:color="auto" w:sz="4" w:space="0"/>
            </w:tcBorders>
            <w:noWrap w:val="0"/>
            <w:vAlign w:val="center"/>
          </w:tcPr>
          <w:p>
            <w:pPr>
              <w:pStyle w:val="6"/>
              <w:jc w:val="center"/>
            </w:pPr>
          </w:p>
        </w:tc>
        <w:tc>
          <w:tcPr>
            <w:tcW w:w="750" w:type="dxa"/>
            <w:vMerge w:val="restart"/>
            <w:tcBorders>
              <w:left w:val="nil"/>
              <w:right w:val="single" w:color="auto" w:sz="4" w:space="0"/>
            </w:tcBorders>
            <w:noWrap w:val="0"/>
            <w:vAlign w:val="center"/>
          </w:tcPr>
          <w:p>
            <w:pPr>
              <w:pStyle w:val="6"/>
              <w:jc w:val="cente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t>质量指标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Cs w:val="21"/>
              </w:rPr>
            </w:pPr>
            <w:r>
              <w:t>以精益求精的工匠精神，</w:t>
            </w:r>
            <w:r>
              <w:rPr>
                <w:rFonts w:hint="eastAsia"/>
              </w:rPr>
              <w:t>将</w:t>
            </w:r>
            <w:r>
              <w:t>新青少年宫打造成长沙的新地标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新青少年宫</w:t>
            </w:r>
            <w:r>
              <w:t>A、B区设备设施升级</w:t>
            </w:r>
            <w:r>
              <w:rPr>
                <w:rFonts w:hint="eastAsia"/>
              </w:rPr>
              <w:t>后，场地打造达到新的标准</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20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20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强化预算执行意识，完善绩效考核工作。</w:t>
            </w: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pStyle w:val="6"/>
              <w:jc w:val="center"/>
            </w:pPr>
          </w:p>
        </w:tc>
        <w:tc>
          <w:tcPr>
            <w:tcW w:w="750" w:type="dxa"/>
            <w:vMerge w:val="continue"/>
            <w:tcBorders>
              <w:left w:val="nil"/>
              <w:right w:val="single" w:color="auto" w:sz="4" w:space="0"/>
            </w:tcBorders>
            <w:noWrap w:val="0"/>
            <w:vAlign w:val="center"/>
          </w:tcPr>
          <w:p>
            <w:pPr>
              <w:pStyle w:val="6"/>
              <w:jc w:val="cente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t>时效指标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Cs w:val="21"/>
              </w:rPr>
            </w:pPr>
            <w:r>
              <w:t>2023年1月至2023年12月</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10月支付北京航天万源公司141万元，7月支付湖南省硅谷公司9万元，湖南世光家具77万元。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p>
        </w:tc>
      </w:tr>
      <w:tr>
        <w:trPr>
          <w:trHeight w:val="23" w:hRule="atLeast"/>
          <w:jc w:val="center"/>
        </w:trPr>
        <w:tc>
          <w:tcPr>
            <w:tcW w:w="1467" w:type="dxa"/>
            <w:vMerge w:val="continue"/>
            <w:tcBorders>
              <w:left w:val="single" w:color="auto" w:sz="4" w:space="0"/>
              <w:right w:val="single" w:color="auto" w:sz="4" w:space="0"/>
            </w:tcBorders>
            <w:noWrap w:val="0"/>
            <w:vAlign w:val="center"/>
          </w:tcPr>
          <w:p>
            <w:pPr>
              <w:pStyle w:val="6"/>
              <w:jc w:val="center"/>
            </w:pPr>
          </w:p>
        </w:tc>
        <w:tc>
          <w:tcPr>
            <w:tcW w:w="750" w:type="dxa"/>
            <w:vMerge w:val="continue"/>
            <w:tcBorders>
              <w:top w:val="single" w:color="auto" w:sz="4" w:space="0"/>
              <w:left w:val="nil"/>
              <w:bottom w:val="single" w:color="auto" w:sz="4" w:space="0"/>
              <w:right w:val="single" w:color="auto" w:sz="4" w:space="0"/>
            </w:tcBorders>
            <w:noWrap w:val="0"/>
            <w:vAlign w:val="center"/>
          </w:tcPr>
          <w:p>
            <w:pPr>
              <w:pStyle w:val="6"/>
              <w:jc w:val="cente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t>社会效益</w:t>
            </w:r>
          </w:p>
          <w:p>
            <w:pPr>
              <w:pStyle w:val="6"/>
              <w:jc w:val="center"/>
            </w:pPr>
            <w: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Cs w:val="21"/>
              </w:rPr>
            </w:pPr>
            <w:r>
              <w:t>将新青少年宫打造成青少年科学技术、历史文化教育基地和爱国主义教育基地</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新</w:t>
            </w:r>
            <w:r>
              <w:t>青少年宫</w:t>
            </w:r>
            <w:r>
              <w:rPr>
                <w:rFonts w:hint="eastAsia"/>
              </w:rPr>
              <w:t>提质</w:t>
            </w:r>
            <w:r>
              <w:t>升级改造</w:t>
            </w:r>
            <w:r>
              <w:rPr>
                <w:rFonts w:hint="eastAsia"/>
              </w:rPr>
              <w:t>，为</w:t>
            </w:r>
            <w:r>
              <w:t>青少年科学技术、历史文化教育基地和爱国主义</w:t>
            </w:r>
            <w:r>
              <w:rPr>
                <w:rFonts w:hint="eastAsia"/>
              </w:rPr>
              <w:t>打造好</w:t>
            </w:r>
            <w:r>
              <w:t>教育基地</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20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20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p>
        </w:tc>
      </w:tr>
      <w:tr>
        <w:tblPrEx>
          <w:tblCellMar>
            <w:top w:w="0" w:type="dxa"/>
            <w:left w:w="57" w:type="dxa"/>
            <w:bottom w:w="0" w:type="dxa"/>
            <w:right w:w="57" w:type="dxa"/>
          </w:tblCellMar>
        </w:tblPrEx>
        <w:trPr>
          <w:trHeight w:val="23" w:hRule="atLeast"/>
          <w:jc w:val="center"/>
        </w:trPr>
        <w:tc>
          <w:tcPr>
            <w:tcW w:w="1467" w:type="dxa"/>
            <w:vMerge w:val="continue"/>
            <w:tcBorders>
              <w:left w:val="single" w:color="auto" w:sz="4" w:space="0"/>
              <w:right w:val="single" w:color="auto" w:sz="4" w:space="0"/>
            </w:tcBorders>
            <w:noWrap w:val="0"/>
            <w:vAlign w:val="center"/>
          </w:tcPr>
          <w:p>
            <w:pPr>
              <w:pStyle w:val="6"/>
              <w:jc w:val="center"/>
            </w:pPr>
          </w:p>
        </w:tc>
        <w:tc>
          <w:tcPr>
            <w:tcW w:w="750" w:type="dxa"/>
            <w:tcBorders>
              <w:top w:val="single" w:color="auto" w:sz="4" w:space="0"/>
              <w:left w:val="nil"/>
              <w:bottom w:val="single" w:color="auto" w:sz="4" w:space="0"/>
              <w:right w:val="single" w:color="auto" w:sz="4" w:space="0"/>
            </w:tcBorders>
            <w:noWrap w:val="0"/>
            <w:vAlign w:val="center"/>
          </w:tcPr>
          <w:p>
            <w:pPr>
              <w:pStyle w:val="6"/>
              <w:jc w:val="center"/>
            </w:pPr>
            <w:r>
              <w:t>满意度指标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t>服务对象</w:t>
            </w:r>
          </w:p>
          <w:p>
            <w:pPr>
              <w:pStyle w:val="6"/>
              <w:jc w:val="center"/>
            </w:pPr>
            <w:r>
              <w:t>满意度指标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szCs w:val="21"/>
              </w:rPr>
            </w:pPr>
            <w:r>
              <w:t>让广大市民和青少年对新青少年宫活动阵地满意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新青少年宫活动阵地得到广大市民和青少年的认可，普遍表示满意</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p>
        </w:tc>
      </w:tr>
      <w:tr>
        <w:trPr>
          <w:trHeight w:val="23" w:hRule="atLeast"/>
          <w:jc w:val="center"/>
        </w:trPr>
        <w:tc>
          <w:tcPr>
            <w:tcW w:w="6267" w:type="dxa"/>
            <w:gridSpan w:val="6"/>
            <w:tcBorders>
              <w:top w:val="single" w:color="auto" w:sz="4" w:space="0"/>
              <w:left w:val="single" w:color="auto" w:sz="4" w:space="0"/>
              <w:bottom w:val="single" w:color="auto" w:sz="4" w:space="0"/>
              <w:right w:val="single" w:color="auto" w:sz="4" w:space="0"/>
            </w:tcBorders>
            <w:noWrap w:val="0"/>
            <w:vAlign w:val="center"/>
          </w:tcPr>
          <w:p>
            <w:pPr>
              <w:pStyle w:val="6"/>
              <w:jc w:val="center"/>
            </w:pPr>
            <w:r>
              <w:t>总  分</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t>100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r>
              <w:rPr>
                <w:rFonts w:hint="eastAsia"/>
              </w:rPr>
              <w:t>80.18</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jc w:val="center"/>
            </w:pPr>
          </w:p>
        </w:tc>
      </w:tr>
    </w:tbl>
    <w:p>
      <w:pPr>
        <w:pStyle w:val="15"/>
        <w:ind w:firstLine="880"/>
        <w:jc w:val="center"/>
        <w:rPr>
          <w:rFonts w:ascii="Times New Roman" w:hAnsi="Times New Roman" w:eastAsia="方正小标宋_GBK" w:cs="Times New Roman"/>
          <w:sz w:val="44"/>
          <w:szCs w:val="44"/>
        </w:rPr>
      </w:pPr>
    </w:p>
    <w:p>
      <w:pPr>
        <w:jc w:val="center"/>
      </w:pPr>
    </w:p>
    <w:p>
      <w:pPr>
        <w:pStyle w:val="9"/>
        <w:jc w:val="center"/>
      </w:pPr>
    </w:p>
    <w:p>
      <w:pPr>
        <w:pStyle w:val="6"/>
        <w:spacing w:before="156" w:beforeLines="50" w:after="156" w:afterLines="50" w:line="600" w:lineRule="exact"/>
        <w:jc w:val="center"/>
        <w:rPr>
          <w:rFonts w:eastAsia="方正小标宋_GBK"/>
          <w:sz w:val="44"/>
          <w:szCs w:val="44"/>
        </w:rPr>
      </w:pPr>
    </w:p>
    <w:p>
      <w:pPr>
        <w:pStyle w:val="6"/>
        <w:spacing w:before="156" w:beforeLines="50" w:after="156" w:afterLines="50" w:line="600" w:lineRule="exact"/>
        <w:jc w:val="center"/>
        <w:rPr>
          <w:rFonts w:hint="eastAsia" w:ascii="黑体" w:hAnsi="黑体" w:eastAsia="黑体" w:cs="黑体"/>
          <w:sz w:val="44"/>
          <w:szCs w:val="44"/>
        </w:rPr>
      </w:pPr>
      <w:r>
        <w:rPr>
          <w:rFonts w:hint="eastAsia" w:ascii="黑体" w:hAnsi="黑体" w:eastAsia="黑体" w:cs="黑体"/>
          <w:sz w:val="44"/>
          <w:szCs w:val="44"/>
        </w:rPr>
        <w:t>2023年度项目支出绩效自评表</w:t>
      </w:r>
    </w:p>
    <w:tbl>
      <w:tblPr>
        <w:tblStyle w:val="16"/>
        <w:tblW w:w="8844" w:type="dxa"/>
        <w:jc w:val="center"/>
        <w:tblLayout w:type="autofit"/>
        <w:tblCellMar>
          <w:top w:w="0" w:type="dxa"/>
          <w:left w:w="57" w:type="dxa"/>
          <w:bottom w:w="0" w:type="dxa"/>
          <w:right w:w="57" w:type="dxa"/>
        </w:tblCellMar>
      </w:tblPr>
      <w:tblGrid>
        <w:gridCol w:w="1467"/>
        <w:gridCol w:w="750"/>
        <w:gridCol w:w="1320"/>
        <w:gridCol w:w="900"/>
        <w:gridCol w:w="855"/>
        <w:gridCol w:w="975"/>
        <w:gridCol w:w="560"/>
        <w:gridCol w:w="913"/>
        <w:gridCol w:w="1104"/>
      </w:tblGrid>
      <w:tr>
        <w:tblPrEx>
          <w:tblCellMar>
            <w:top w:w="0" w:type="dxa"/>
            <w:left w:w="57" w:type="dxa"/>
            <w:bottom w:w="0" w:type="dxa"/>
            <w:right w:w="57" w:type="dxa"/>
          </w:tblCellMar>
        </w:tblPrEx>
        <w:trPr>
          <w:wBefore w:w="0" w:type="dxa"/>
          <w:trHeight w:val="385" w:hRule="atLeast"/>
          <w:jc w:val="center"/>
        </w:trPr>
        <w:tc>
          <w:tcPr>
            <w:tcW w:w="1467"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项目支出名称</w:t>
            </w:r>
          </w:p>
        </w:tc>
        <w:tc>
          <w:tcPr>
            <w:tcW w:w="7377" w:type="dxa"/>
            <w:gridSpan w:val="8"/>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差额拨款和自收自支事业单位离休干部基本离休金等经费</w:t>
            </w:r>
          </w:p>
        </w:tc>
      </w:tr>
      <w:tr>
        <w:tblPrEx>
          <w:tblCellMar>
            <w:top w:w="0" w:type="dxa"/>
            <w:left w:w="57" w:type="dxa"/>
            <w:bottom w:w="0" w:type="dxa"/>
            <w:right w:w="57" w:type="dxa"/>
          </w:tblCellMar>
        </w:tblPrEx>
        <w:trPr>
          <w:wBefore w:w="0" w:type="dxa"/>
          <w:trHeight w:val="305" w:hRule="atLeast"/>
          <w:jc w:val="center"/>
        </w:trPr>
        <w:tc>
          <w:tcPr>
            <w:tcW w:w="1467" w:type="dxa"/>
            <w:tcBorders>
              <w:top w:val="nil"/>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主管部门</w:t>
            </w:r>
          </w:p>
        </w:tc>
        <w:tc>
          <w:tcPr>
            <w:tcW w:w="3825"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共青团长沙市委</w:t>
            </w:r>
          </w:p>
        </w:tc>
        <w:tc>
          <w:tcPr>
            <w:tcW w:w="975" w:type="dxa"/>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实施单位</w:t>
            </w:r>
          </w:p>
        </w:tc>
        <w:tc>
          <w:tcPr>
            <w:tcW w:w="2577" w:type="dxa"/>
            <w:gridSpan w:val="3"/>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长沙市青少年宫</w:t>
            </w:r>
          </w:p>
        </w:tc>
      </w:tr>
      <w:tr>
        <w:tblPrEx>
          <w:tblCellMar>
            <w:top w:w="0" w:type="dxa"/>
            <w:left w:w="57" w:type="dxa"/>
            <w:bottom w:w="0" w:type="dxa"/>
            <w:right w:w="57" w:type="dxa"/>
          </w:tblCellMar>
        </w:tblPrEx>
        <w:trPr>
          <w:wBefore w:w="0" w:type="dxa"/>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项目资金</w:t>
            </w:r>
          </w:p>
          <w:p>
            <w:pPr>
              <w:pStyle w:val="6"/>
              <w:widowControl/>
              <w:spacing w:line="240" w:lineRule="exact"/>
              <w:jc w:val="center"/>
              <w:rPr>
                <w:color w:val="000000"/>
                <w:szCs w:val="21"/>
              </w:rPr>
            </w:pPr>
            <w:r>
              <w:rPr>
                <w:color w:val="000000"/>
                <w:szCs w:val="21"/>
              </w:rPr>
              <w:t>（万元）</w:t>
            </w: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9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年初</w:t>
            </w:r>
          </w:p>
          <w:p>
            <w:pPr>
              <w:pStyle w:val="6"/>
              <w:widowControl/>
              <w:spacing w:line="240" w:lineRule="exact"/>
              <w:jc w:val="center"/>
              <w:rPr>
                <w:color w:val="000000"/>
                <w:szCs w:val="21"/>
              </w:rPr>
            </w:pPr>
            <w:r>
              <w:rPr>
                <w:color w:val="000000"/>
                <w:szCs w:val="21"/>
              </w:rPr>
              <w:t>预算数</w:t>
            </w:r>
          </w:p>
        </w:tc>
        <w:tc>
          <w:tcPr>
            <w:tcW w:w="8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全年</w:t>
            </w:r>
          </w:p>
          <w:p>
            <w:pPr>
              <w:pStyle w:val="6"/>
              <w:widowControl/>
              <w:spacing w:line="240" w:lineRule="exact"/>
              <w:jc w:val="center"/>
              <w:rPr>
                <w:color w:val="000000"/>
                <w:szCs w:val="21"/>
              </w:rPr>
            </w:pPr>
            <w:r>
              <w:rPr>
                <w:color w:val="000000"/>
                <w:szCs w:val="21"/>
              </w:rPr>
              <w:t>预算数</w:t>
            </w:r>
          </w:p>
        </w:tc>
        <w:tc>
          <w:tcPr>
            <w:tcW w:w="975"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全年</w:t>
            </w:r>
          </w:p>
          <w:p>
            <w:pPr>
              <w:pStyle w:val="6"/>
              <w:spacing w:line="240" w:lineRule="exact"/>
              <w:jc w:val="center"/>
              <w:rPr>
                <w:szCs w:val="21"/>
              </w:rPr>
            </w:pPr>
            <w:r>
              <w:rPr>
                <w:szCs w:val="21"/>
              </w:rPr>
              <w:t>执行数</w:t>
            </w:r>
          </w:p>
        </w:tc>
        <w:tc>
          <w:tcPr>
            <w:tcW w:w="560"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分值</w:t>
            </w:r>
          </w:p>
        </w:tc>
        <w:tc>
          <w:tcPr>
            <w:tcW w:w="913"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执行率</w:t>
            </w:r>
          </w:p>
        </w:tc>
        <w:tc>
          <w:tcPr>
            <w:tcW w:w="1104"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得分</w:t>
            </w: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年度资金总额</w:t>
            </w:r>
          </w:p>
        </w:tc>
        <w:tc>
          <w:tcPr>
            <w:tcW w:w="9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9.03</w:t>
            </w:r>
          </w:p>
        </w:tc>
        <w:tc>
          <w:tcPr>
            <w:tcW w:w="8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9.03</w:t>
            </w:r>
          </w:p>
        </w:tc>
        <w:tc>
          <w:tcPr>
            <w:tcW w:w="97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4.76</w:t>
            </w:r>
          </w:p>
        </w:tc>
        <w:tc>
          <w:tcPr>
            <w:tcW w:w="5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10</w:t>
            </w:r>
          </w:p>
        </w:tc>
        <w:tc>
          <w:tcPr>
            <w:tcW w:w="91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52.71%</w:t>
            </w:r>
          </w:p>
        </w:tc>
        <w:tc>
          <w:tcPr>
            <w:tcW w:w="110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5.27</w:t>
            </w: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其中：当年财政拨款</w:t>
            </w:r>
          </w:p>
        </w:tc>
        <w:tc>
          <w:tcPr>
            <w:tcW w:w="9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9.03</w:t>
            </w:r>
          </w:p>
        </w:tc>
        <w:tc>
          <w:tcPr>
            <w:tcW w:w="8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9.03</w:t>
            </w:r>
          </w:p>
        </w:tc>
        <w:tc>
          <w:tcPr>
            <w:tcW w:w="97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4.76</w:t>
            </w:r>
          </w:p>
        </w:tc>
        <w:tc>
          <w:tcPr>
            <w:tcW w:w="5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91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10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jc w:val="center"/>
              <w:rPr>
                <w:color w:val="000000"/>
                <w:szCs w:val="21"/>
              </w:rPr>
            </w:pPr>
            <w:r>
              <w:rPr>
                <w:color w:val="000000"/>
                <w:szCs w:val="21"/>
              </w:rPr>
              <w:t>上年结转资金</w:t>
            </w:r>
          </w:p>
        </w:tc>
        <w:tc>
          <w:tcPr>
            <w:tcW w:w="9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97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5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91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10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070" w:type="dxa"/>
            <w:gridSpan w:val="2"/>
            <w:tcBorders>
              <w:top w:val="nil"/>
              <w:left w:val="nil"/>
              <w:bottom w:val="single" w:color="auto" w:sz="4" w:space="0"/>
              <w:right w:val="single" w:color="auto" w:sz="4" w:space="0"/>
            </w:tcBorders>
            <w:noWrap w:val="0"/>
            <w:vAlign w:val="center"/>
          </w:tcPr>
          <w:p>
            <w:pPr>
              <w:pStyle w:val="6"/>
              <w:widowControl/>
              <w:spacing w:line="240" w:lineRule="exact"/>
              <w:ind w:firstLine="630" w:firstLineChars="300"/>
              <w:jc w:val="center"/>
              <w:rPr>
                <w:color w:val="000000"/>
                <w:szCs w:val="21"/>
              </w:rPr>
            </w:pPr>
            <w:r>
              <w:rPr>
                <w:color w:val="000000"/>
                <w:szCs w:val="21"/>
              </w:rPr>
              <w:t>其他资金</w:t>
            </w:r>
          </w:p>
        </w:tc>
        <w:tc>
          <w:tcPr>
            <w:tcW w:w="90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5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975"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5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91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10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1467"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年度总体目标</w:t>
            </w:r>
          </w:p>
        </w:tc>
        <w:tc>
          <w:tcPr>
            <w:tcW w:w="3825" w:type="dxa"/>
            <w:gridSpan w:val="4"/>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年度目标</w:t>
            </w:r>
          </w:p>
        </w:tc>
        <w:tc>
          <w:tcPr>
            <w:tcW w:w="3552"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实际完成情况</w:t>
            </w: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3825" w:type="dxa"/>
            <w:gridSpan w:val="4"/>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rFonts w:hint="eastAsia"/>
                <w:color w:val="000000"/>
                <w:szCs w:val="21"/>
              </w:rPr>
              <w:t>按照市有关政策，拨付青少年宫离休干部基本离休金等经费，尊重和关怀离休干部，确保离休干部工资福利待遇等，得到保障。</w:t>
            </w:r>
          </w:p>
        </w:tc>
        <w:tc>
          <w:tcPr>
            <w:tcW w:w="3552" w:type="dxa"/>
            <w:gridSpan w:val="4"/>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严格按照有关政策执行离休干部工资福利待遇等，确保了青少年宫离休干部工资福利待遇均得到保障</w:t>
            </w:r>
          </w:p>
        </w:tc>
      </w:tr>
      <w:tr>
        <w:tblPrEx>
          <w:tblCellMar>
            <w:top w:w="0" w:type="dxa"/>
            <w:left w:w="57" w:type="dxa"/>
            <w:bottom w:w="0" w:type="dxa"/>
            <w:right w:w="57" w:type="dxa"/>
          </w:tblCellMar>
        </w:tblPrEx>
        <w:trPr>
          <w:wBefore w:w="0" w:type="dxa"/>
          <w:trHeight w:val="23" w:hRule="atLeast"/>
          <w:jc w:val="center"/>
        </w:trPr>
        <w:tc>
          <w:tcPr>
            <w:tcW w:w="1467" w:type="dxa"/>
            <w:vMerge w:val="restart"/>
            <w:tcBorders>
              <w:top w:val="nil"/>
              <w:left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绩</w:t>
            </w:r>
          </w:p>
          <w:p>
            <w:pPr>
              <w:pStyle w:val="6"/>
              <w:widowControl/>
              <w:spacing w:line="240" w:lineRule="exact"/>
              <w:jc w:val="center"/>
              <w:rPr>
                <w:color w:val="000000"/>
                <w:szCs w:val="21"/>
              </w:rPr>
            </w:pPr>
            <w:r>
              <w:rPr>
                <w:color w:val="000000"/>
                <w:szCs w:val="21"/>
              </w:rPr>
              <w:t>效</w:t>
            </w:r>
          </w:p>
          <w:p>
            <w:pPr>
              <w:pStyle w:val="6"/>
              <w:widowControl/>
              <w:spacing w:line="240" w:lineRule="exact"/>
              <w:jc w:val="center"/>
              <w:rPr>
                <w:color w:val="000000"/>
                <w:szCs w:val="21"/>
              </w:rPr>
            </w:pPr>
            <w:r>
              <w:rPr>
                <w:color w:val="000000"/>
                <w:szCs w:val="21"/>
              </w:rPr>
              <w:t>指</w:t>
            </w:r>
          </w:p>
          <w:p>
            <w:pPr>
              <w:pStyle w:val="6"/>
              <w:widowControl/>
              <w:spacing w:line="240" w:lineRule="exact"/>
              <w:jc w:val="center"/>
              <w:rPr>
                <w:color w:val="000000"/>
                <w:szCs w:val="21"/>
              </w:rPr>
            </w:pPr>
            <w:r>
              <w:rPr>
                <w:color w:val="000000"/>
                <w:szCs w:val="21"/>
              </w:rPr>
              <w:t>标</w:t>
            </w: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一级</w:t>
            </w:r>
          </w:p>
          <w:p>
            <w:pPr>
              <w:pStyle w:val="6"/>
              <w:widowControl/>
              <w:spacing w:line="240" w:lineRule="exact"/>
              <w:jc w:val="center"/>
              <w:rPr>
                <w:color w:val="000000"/>
                <w:szCs w:val="21"/>
              </w:rPr>
            </w:pPr>
            <w:r>
              <w:rPr>
                <w:color w:val="000000"/>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二级</w:t>
            </w:r>
          </w:p>
          <w:p>
            <w:pPr>
              <w:pStyle w:val="6"/>
              <w:widowControl/>
              <w:spacing w:line="240" w:lineRule="exact"/>
              <w:jc w:val="center"/>
              <w:rPr>
                <w:color w:val="000000"/>
                <w:szCs w:val="21"/>
              </w:rPr>
            </w:pPr>
            <w:r>
              <w:rPr>
                <w:color w:val="00000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三级指标内容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w:t>
            </w:r>
          </w:p>
          <w:p>
            <w:pPr>
              <w:pStyle w:val="6"/>
              <w:widowControl/>
              <w:spacing w:line="240" w:lineRule="exact"/>
              <w:jc w:val="center"/>
              <w:rPr>
                <w:color w:val="000000"/>
                <w:szCs w:val="21"/>
              </w:rPr>
            </w:pPr>
            <w:r>
              <w:rPr>
                <w:color w:val="000000"/>
                <w:szCs w:val="21"/>
              </w:rPr>
              <w:t>指标值</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w:t>
            </w:r>
          </w:p>
          <w:p>
            <w:pPr>
              <w:pStyle w:val="6"/>
              <w:widowControl/>
              <w:spacing w:line="240" w:lineRule="exact"/>
              <w:jc w:val="center"/>
              <w:rPr>
                <w:color w:val="000000"/>
                <w:szCs w:val="21"/>
              </w:rPr>
            </w:pPr>
            <w:r>
              <w:rPr>
                <w:color w:val="000000"/>
                <w:szCs w:val="21"/>
              </w:rPr>
              <w:t>完成值</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分值</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得分</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偏差原因分析及</w:t>
            </w:r>
          </w:p>
          <w:p>
            <w:pPr>
              <w:pStyle w:val="6"/>
              <w:widowControl/>
              <w:spacing w:line="240" w:lineRule="exact"/>
              <w:jc w:val="center"/>
              <w:rPr>
                <w:color w:val="000000"/>
                <w:szCs w:val="21"/>
              </w:rPr>
            </w:pPr>
            <w:r>
              <w:rPr>
                <w:color w:val="000000"/>
                <w:szCs w:val="21"/>
              </w:rPr>
              <w:t>改进措施</w:t>
            </w: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成本</w:t>
            </w:r>
          </w:p>
          <w:p>
            <w:pPr>
              <w:pStyle w:val="6"/>
              <w:widowControl/>
              <w:spacing w:line="240" w:lineRule="exact"/>
              <w:jc w:val="center"/>
              <w:rPr>
                <w:color w:val="000000"/>
                <w:szCs w:val="21"/>
              </w:rPr>
            </w:pPr>
            <w:r>
              <w:rPr>
                <w:color w:val="000000"/>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经济成本</w:t>
            </w:r>
          </w:p>
          <w:p>
            <w:pPr>
              <w:pStyle w:val="6"/>
              <w:widowControl/>
              <w:spacing w:line="240" w:lineRule="exact"/>
              <w:jc w:val="center"/>
              <w:rPr>
                <w:color w:val="000000"/>
                <w:szCs w:val="21"/>
              </w:rPr>
            </w:pPr>
            <w:r>
              <w:rPr>
                <w:color w:val="00000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9.03万元</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9.03万元</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4.76万元</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按财政实际发放要求发放</w:t>
            </w: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社会成本</w:t>
            </w:r>
          </w:p>
          <w:p>
            <w:pPr>
              <w:pStyle w:val="6"/>
              <w:widowControl/>
              <w:spacing w:line="240" w:lineRule="exact"/>
              <w:jc w:val="center"/>
              <w:rPr>
                <w:color w:val="000000"/>
                <w:szCs w:val="21"/>
              </w:rPr>
            </w:pPr>
            <w:r>
              <w:rPr>
                <w:color w:val="00000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体现人文关怀</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体现人文关怀</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体现了人文关怀</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生态环境成本指标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不浪费水电</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不浪费水电</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不浪费水电</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产出</w:t>
            </w:r>
          </w:p>
          <w:p>
            <w:pPr>
              <w:pStyle w:val="6"/>
              <w:widowControl/>
              <w:spacing w:line="240" w:lineRule="exact"/>
              <w:jc w:val="center"/>
              <w:rPr>
                <w:color w:val="000000"/>
                <w:szCs w:val="21"/>
              </w:rPr>
            </w:pPr>
            <w:r>
              <w:rPr>
                <w:color w:val="000000"/>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数量指标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全员发放</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全员发放</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全员发放</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20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20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质量指标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保障离休干部工资福利等方面待遇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保障离休干部工资福利等方面待遇</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保障离休干部工资福利等方面待遇</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时效指标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2023年度</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2023年度</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2023年度</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效益</w:t>
            </w:r>
          </w:p>
          <w:p>
            <w:pPr>
              <w:pStyle w:val="6"/>
              <w:widowControl/>
              <w:spacing w:line="240" w:lineRule="exact"/>
              <w:jc w:val="center"/>
              <w:rPr>
                <w:color w:val="000000"/>
                <w:szCs w:val="21"/>
              </w:rPr>
            </w:pPr>
            <w:r>
              <w:rPr>
                <w:color w:val="000000"/>
                <w:szCs w:val="21"/>
              </w:rPr>
              <w:t>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经济效益</w:t>
            </w:r>
          </w:p>
          <w:p>
            <w:pPr>
              <w:pStyle w:val="6"/>
              <w:widowControl/>
              <w:spacing w:line="240" w:lineRule="exact"/>
              <w:jc w:val="center"/>
              <w:rPr>
                <w:color w:val="000000"/>
                <w:szCs w:val="21"/>
              </w:rPr>
            </w:pPr>
            <w:r>
              <w:rPr>
                <w:color w:val="00000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保障离休干部工资福利等方面待遇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保障离休干部工资福利等方面待遇</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保障离休干部工资福利等方面待遇</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742"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社会效益</w:t>
            </w:r>
          </w:p>
          <w:p>
            <w:pPr>
              <w:pStyle w:val="6"/>
              <w:widowControl/>
              <w:spacing w:line="240" w:lineRule="exact"/>
              <w:jc w:val="center"/>
              <w:rPr>
                <w:color w:val="000000"/>
                <w:szCs w:val="21"/>
              </w:rPr>
            </w:pPr>
            <w:r>
              <w:rPr>
                <w:color w:val="000000"/>
                <w:szCs w:val="21"/>
              </w:rPr>
              <w:t>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尊重和关怀离休干部</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保障离休干部工资福利等方面待遇</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保障离休干部工资福利等方面待遇</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1235"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spacing w:line="240" w:lineRule="exact"/>
              <w:jc w:val="center"/>
              <w:rPr>
                <w:color w:val="000000"/>
                <w:szCs w:val="21"/>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可持续发展目标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让离休干部持续满意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让离休干部持续满意</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让离休干部持续满意</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5</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5</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1467"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满意度指标</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服务对象</w:t>
            </w:r>
          </w:p>
          <w:p>
            <w:pPr>
              <w:pStyle w:val="6"/>
              <w:widowControl/>
              <w:spacing w:line="240" w:lineRule="exact"/>
              <w:jc w:val="center"/>
              <w:rPr>
                <w:color w:val="000000"/>
                <w:szCs w:val="21"/>
              </w:rPr>
            </w:pPr>
            <w:r>
              <w:rPr>
                <w:color w:val="000000"/>
                <w:szCs w:val="21"/>
              </w:rPr>
              <w:t>满意度指标</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确保离休干部工资福利等方面的待遇</w:t>
            </w:r>
          </w:p>
        </w:tc>
        <w:tc>
          <w:tcPr>
            <w:tcW w:w="85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确保离休干部工资福利等方面的待</w:t>
            </w:r>
          </w:p>
        </w:tc>
        <w:tc>
          <w:tcPr>
            <w:tcW w:w="97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rFonts w:hint="eastAsia"/>
                <w:color w:val="000000"/>
                <w:sz w:val="18"/>
                <w:szCs w:val="18"/>
              </w:rPr>
              <w:t>确保离休干部工资福利等方面的待</w:t>
            </w:r>
          </w:p>
        </w:tc>
        <w:tc>
          <w:tcPr>
            <w:tcW w:w="56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913"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10</w:t>
            </w:r>
          </w:p>
        </w:tc>
        <w:tc>
          <w:tcPr>
            <w:tcW w:w="110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wBefore w:w="0" w:type="dxa"/>
          <w:trHeight w:val="23" w:hRule="atLeast"/>
          <w:jc w:val="center"/>
        </w:trPr>
        <w:tc>
          <w:tcPr>
            <w:tcW w:w="6267" w:type="dxa"/>
            <w:gridSpan w:val="6"/>
            <w:tcBorders>
              <w:top w:val="single" w:color="auto" w:sz="4" w:space="0"/>
              <w:left w:val="single" w:color="auto" w:sz="4" w:space="0"/>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总  分</w:t>
            </w:r>
          </w:p>
        </w:tc>
        <w:tc>
          <w:tcPr>
            <w:tcW w:w="56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100</w:t>
            </w:r>
          </w:p>
        </w:tc>
        <w:tc>
          <w:tcPr>
            <w:tcW w:w="913"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90.27</w:t>
            </w:r>
          </w:p>
        </w:tc>
        <w:tc>
          <w:tcPr>
            <w:tcW w:w="110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bl>
    <w:p>
      <w:pPr>
        <w:pStyle w:val="9"/>
        <w:ind w:left="0" w:leftChars="0"/>
      </w:pPr>
    </w:p>
    <w:p>
      <w:pPr>
        <w:pStyle w:val="6"/>
        <w:spacing w:before="156" w:beforeLines="50" w:after="156" w:afterLines="50" w:line="600" w:lineRule="exact"/>
        <w:jc w:val="center"/>
        <w:rPr>
          <w:rFonts w:hint="eastAsia" w:ascii="黑体" w:hAnsi="黑体" w:eastAsia="黑体" w:cs="黑体"/>
          <w:sz w:val="44"/>
          <w:szCs w:val="44"/>
        </w:rPr>
      </w:pPr>
      <w:bookmarkStart w:id="1" w:name="OLE_LINK3"/>
      <w:r>
        <w:rPr>
          <w:rFonts w:hint="eastAsia" w:ascii="黑体" w:hAnsi="黑体" w:eastAsia="黑体" w:cs="黑体"/>
          <w:sz w:val="44"/>
          <w:szCs w:val="44"/>
        </w:rPr>
        <w:t>2023年度项目支出绩效自评表</w:t>
      </w:r>
    </w:p>
    <w:tbl>
      <w:tblPr>
        <w:tblStyle w:val="16"/>
        <w:tblW w:w="10079" w:type="dxa"/>
        <w:jc w:val="center"/>
        <w:tblLayout w:type="fixed"/>
        <w:tblCellMar>
          <w:top w:w="0" w:type="dxa"/>
          <w:left w:w="57" w:type="dxa"/>
          <w:bottom w:w="0" w:type="dxa"/>
          <w:right w:w="57" w:type="dxa"/>
        </w:tblCellMar>
      </w:tblPr>
      <w:tblGrid>
        <w:gridCol w:w="958"/>
        <w:gridCol w:w="330"/>
        <w:gridCol w:w="345"/>
        <w:gridCol w:w="1655"/>
        <w:gridCol w:w="1270"/>
        <w:gridCol w:w="195"/>
        <w:gridCol w:w="289"/>
        <w:gridCol w:w="1186"/>
        <w:gridCol w:w="595"/>
        <w:gridCol w:w="611"/>
        <w:gridCol w:w="259"/>
        <w:gridCol w:w="254"/>
        <w:gridCol w:w="588"/>
        <w:gridCol w:w="1544"/>
      </w:tblGrid>
      <w:tr>
        <w:tblPrEx>
          <w:tblCellMar>
            <w:top w:w="0" w:type="dxa"/>
            <w:left w:w="57" w:type="dxa"/>
            <w:bottom w:w="0" w:type="dxa"/>
            <w:right w:w="57" w:type="dxa"/>
          </w:tblCellMar>
        </w:tblPrEx>
        <w:trPr>
          <w:trHeight w:val="440" w:hRule="atLeast"/>
          <w:jc w:val="center"/>
        </w:trPr>
        <w:tc>
          <w:tcPr>
            <w:tcW w:w="958"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项目支出名称</w:t>
            </w:r>
          </w:p>
        </w:tc>
        <w:tc>
          <w:tcPr>
            <w:tcW w:w="9121" w:type="dxa"/>
            <w:gridSpan w:val="13"/>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科协项目经费</w:t>
            </w:r>
          </w:p>
        </w:tc>
      </w:tr>
      <w:tr>
        <w:trPr>
          <w:trHeight w:val="260" w:hRule="atLeast"/>
          <w:jc w:val="center"/>
        </w:trPr>
        <w:tc>
          <w:tcPr>
            <w:tcW w:w="958" w:type="dxa"/>
            <w:tcBorders>
              <w:top w:val="nil"/>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主管部门</w:t>
            </w:r>
          </w:p>
        </w:tc>
        <w:tc>
          <w:tcPr>
            <w:tcW w:w="4084" w:type="dxa"/>
            <w:gridSpan w:val="6"/>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共青团长沙市委</w:t>
            </w:r>
          </w:p>
        </w:tc>
        <w:tc>
          <w:tcPr>
            <w:tcW w:w="1781" w:type="dxa"/>
            <w:gridSpan w:val="2"/>
            <w:tcBorders>
              <w:top w:val="single" w:color="auto" w:sz="4" w:space="0"/>
              <w:left w:val="nil"/>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实施单位</w:t>
            </w:r>
          </w:p>
        </w:tc>
        <w:tc>
          <w:tcPr>
            <w:tcW w:w="3256" w:type="dxa"/>
            <w:gridSpan w:val="5"/>
            <w:tcBorders>
              <w:top w:val="single" w:color="auto" w:sz="4" w:space="0"/>
              <w:left w:val="nil"/>
              <w:bottom w:val="single" w:color="auto" w:sz="4" w:space="0"/>
              <w:right w:val="single" w:color="auto" w:sz="4" w:space="0"/>
            </w:tcBorders>
            <w:noWrap w:val="0"/>
            <w:vAlign w:val="center"/>
          </w:tcPr>
          <w:p>
            <w:pPr>
              <w:pStyle w:val="6"/>
              <w:widowControl/>
              <w:spacing w:line="240" w:lineRule="exact"/>
              <w:jc w:val="center"/>
              <w:rPr>
                <w:rFonts w:hint="eastAsia"/>
                <w:color w:val="000000"/>
                <w:szCs w:val="21"/>
              </w:rPr>
            </w:pPr>
            <w:r>
              <w:rPr>
                <w:rFonts w:hint="eastAsia"/>
                <w:color w:val="000000"/>
                <w:szCs w:val="21"/>
              </w:rPr>
              <w:t>长沙市青少年宫</w:t>
            </w:r>
          </w:p>
        </w:tc>
      </w:tr>
      <w:tr>
        <w:tblPrEx>
          <w:tblCellMar>
            <w:top w:w="0" w:type="dxa"/>
            <w:left w:w="57" w:type="dxa"/>
            <w:bottom w:w="0" w:type="dxa"/>
            <w:right w:w="57" w:type="dxa"/>
          </w:tblCellMar>
        </w:tblPrEx>
        <w:trPr>
          <w:trHeight w:val="23" w:hRule="atLeast"/>
          <w:jc w:val="center"/>
        </w:trPr>
        <w:tc>
          <w:tcPr>
            <w:tcW w:w="958"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项目资金</w:t>
            </w:r>
          </w:p>
          <w:p>
            <w:pPr>
              <w:pStyle w:val="6"/>
              <w:widowControl/>
              <w:spacing w:line="240" w:lineRule="exact"/>
              <w:jc w:val="center"/>
              <w:rPr>
                <w:color w:val="000000"/>
                <w:szCs w:val="21"/>
              </w:rPr>
            </w:pPr>
            <w:r>
              <w:rPr>
                <w:color w:val="000000"/>
                <w:szCs w:val="21"/>
              </w:rPr>
              <w:t>（万元）</w:t>
            </w:r>
          </w:p>
        </w:tc>
        <w:tc>
          <w:tcPr>
            <w:tcW w:w="2330" w:type="dxa"/>
            <w:gridSpan w:val="3"/>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27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年初</w:t>
            </w:r>
          </w:p>
          <w:p>
            <w:pPr>
              <w:pStyle w:val="6"/>
              <w:widowControl/>
              <w:spacing w:line="240" w:lineRule="exact"/>
              <w:jc w:val="center"/>
              <w:rPr>
                <w:color w:val="000000"/>
                <w:szCs w:val="21"/>
              </w:rPr>
            </w:pPr>
            <w:r>
              <w:rPr>
                <w:color w:val="000000"/>
                <w:szCs w:val="21"/>
              </w:rPr>
              <w:t>预算数</w:t>
            </w:r>
          </w:p>
        </w:tc>
        <w:tc>
          <w:tcPr>
            <w:tcW w:w="484"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全年</w:t>
            </w:r>
          </w:p>
          <w:p>
            <w:pPr>
              <w:pStyle w:val="6"/>
              <w:widowControl/>
              <w:spacing w:line="240" w:lineRule="exact"/>
              <w:jc w:val="center"/>
              <w:rPr>
                <w:color w:val="000000"/>
                <w:szCs w:val="21"/>
              </w:rPr>
            </w:pPr>
            <w:r>
              <w:rPr>
                <w:color w:val="000000"/>
                <w:szCs w:val="21"/>
              </w:rPr>
              <w:t>预算数</w:t>
            </w:r>
          </w:p>
        </w:tc>
        <w:tc>
          <w:tcPr>
            <w:tcW w:w="1781" w:type="dxa"/>
            <w:gridSpan w:val="2"/>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全年</w:t>
            </w:r>
          </w:p>
          <w:p>
            <w:pPr>
              <w:pStyle w:val="6"/>
              <w:spacing w:line="240" w:lineRule="exact"/>
              <w:jc w:val="center"/>
              <w:rPr>
                <w:szCs w:val="21"/>
              </w:rPr>
            </w:pPr>
            <w:r>
              <w:rPr>
                <w:szCs w:val="21"/>
              </w:rPr>
              <w:t>执行数</w:t>
            </w:r>
          </w:p>
        </w:tc>
        <w:tc>
          <w:tcPr>
            <w:tcW w:w="870" w:type="dxa"/>
            <w:gridSpan w:val="2"/>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分值</w:t>
            </w:r>
          </w:p>
        </w:tc>
        <w:tc>
          <w:tcPr>
            <w:tcW w:w="842" w:type="dxa"/>
            <w:gridSpan w:val="2"/>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执行率</w:t>
            </w:r>
          </w:p>
        </w:tc>
        <w:tc>
          <w:tcPr>
            <w:tcW w:w="1544" w:type="dxa"/>
            <w:tcBorders>
              <w:top w:val="nil"/>
              <w:left w:val="nil"/>
              <w:bottom w:val="single" w:color="auto" w:sz="4" w:space="0"/>
              <w:right w:val="single" w:color="auto" w:sz="4" w:space="0"/>
            </w:tcBorders>
            <w:noWrap w:val="0"/>
            <w:vAlign w:val="center"/>
          </w:tcPr>
          <w:p>
            <w:pPr>
              <w:pStyle w:val="6"/>
              <w:spacing w:line="240" w:lineRule="exact"/>
              <w:jc w:val="center"/>
              <w:rPr>
                <w:szCs w:val="21"/>
              </w:rPr>
            </w:pPr>
            <w:r>
              <w:rPr>
                <w:szCs w:val="21"/>
              </w:rPr>
              <w:t>得分</w:t>
            </w:r>
          </w:p>
        </w:tc>
      </w:tr>
      <w:tr>
        <w:trPr>
          <w:trHeight w:val="23" w:hRule="atLeast"/>
          <w:jc w:val="center"/>
        </w:trPr>
        <w:tc>
          <w:tcPr>
            <w:tcW w:w="958"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330" w:type="dxa"/>
            <w:gridSpan w:val="3"/>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年度资金总额</w:t>
            </w:r>
          </w:p>
        </w:tc>
        <w:tc>
          <w:tcPr>
            <w:tcW w:w="127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8</w:t>
            </w:r>
          </w:p>
        </w:tc>
        <w:tc>
          <w:tcPr>
            <w:tcW w:w="484"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8</w:t>
            </w:r>
          </w:p>
        </w:tc>
        <w:tc>
          <w:tcPr>
            <w:tcW w:w="1781"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3.83</w:t>
            </w:r>
          </w:p>
        </w:tc>
        <w:tc>
          <w:tcPr>
            <w:tcW w:w="8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10</w:t>
            </w:r>
          </w:p>
        </w:tc>
        <w:tc>
          <w:tcPr>
            <w:tcW w:w="842"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47.9%</w:t>
            </w:r>
          </w:p>
        </w:tc>
        <w:tc>
          <w:tcPr>
            <w:tcW w:w="154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4.79</w:t>
            </w:r>
          </w:p>
        </w:tc>
      </w:tr>
      <w:tr>
        <w:tblPrEx>
          <w:tblCellMar>
            <w:top w:w="0" w:type="dxa"/>
            <w:left w:w="57" w:type="dxa"/>
            <w:bottom w:w="0" w:type="dxa"/>
            <w:right w:w="57" w:type="dxa"/>
          </w:tblCellMar>
        </w:tblPrEx>
        <w:trPr>
          <w:trHeight w:val="23" w:hRule="atLeast"/>
          <w:jc w:val="center"/>
        </w:trPr>
        <w:tc>
          <w:tcPr>
            <w:tcW w:w="958"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330" w:type="dxa"/>
            <w:gridSpan w:val="3"/>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color w:val="000000"/>
                <w:sz w:val="18"/>
                <w:szCs w:val="18"/>
              </w:rPr>
              <w:t>其中：当年财政拨款</w:t>
            </w:r>
          </w:p>
        </w:tc>
        <w:tc>
          <w:tcPr>
            <w:tcW w:w="1270"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484"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781"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42"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54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trHeight w:val="23" w:hRule="atLeast"/>
          <w:jc w:val="center"/>
        </w:trPr>
        <w:tc>
          <w:tcPr>
            <w:tcW w:w="958"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33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ind w:firstLine="540" w:firstLineChars="300"/>
              <w:jc w:val="center"/>
              <w:rPr>
                <w:color w:val="000000"/>
                <w:sz w:val="18"/>
                <w:szCs w:val="18"/>
              </w:rPr>
            </w:pPr>
            <w:r>
              <w:rPr>
                <w:color w:val="000000"/>
                <w:sz w:val="18"/>
                <w:szCs w:val="18"/>
              </w:rPr>
              <w:t>上年结转资金</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484"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42"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54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blPrEx>
          <w:tblCellMar>
            <w:top w:w="0" w:type="dxa"/>
            <w:left w:w="57" w:type="dxa"/>
            <w:bottom w:w="0" w:type="dxa"/>
            <w:right w:w="57" w:type="dxa"/>
          </w:tblCellMar>
        </w:tblPrEx>
        <w:trPr>
          <w:trHeight w:val="23" w:hRule="atLeast"/>
          <w:jc w:val="center"/>
        </w:trPr>
        <w:tc>
          <w:tcPr>
            <w:tcW w:w="958"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233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ind w:firstLine="540" w:firstLineChars="300"/>
              <w:jc w:val="center"/>
              <w:rPr>
                <w:color w:val="000000"/>
                <w:sz w:val="18"/>
                <w:szCs w:val="18"/>
              </w:rPr>
            </w:pPr>
            <w:r>
              <w:rPr>
                <w:color w:val="000000"/>
                <w:sz w:val="18"/>
                <w:szCs w:val="18"/>
              </w:rPr>
              <w:t>其他资金</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484"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781"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70"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842"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154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tr>
        <w:trPr>
          <w:trHeight w:val="23" w:hRule="atLeast"/>
          <w:jc w:val="center"/>
        </w:trPr>
        <w:tc>
          <w:tcPr>
            <w:tcW w:w="958" w:type="dxa"/>
            <w:vMerge w:val="restart"/>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年度总体目标</w:t>
            </w:r>
          </w:p>
        </w:tc>
        <w:tc>
          <w:tcPr>
            <w:tcW w:w="5270" w:type="dxa"/>
            <w:gridSpan w:val="7"/>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年度目标</w:t>
            </w:r>
          </w:p>
        </w:tc>
        <w:tc>
          <w:tcPr>
            <w:tcW w:w="3851" w:type="dxa"/>
            <w:gridSpan w:val="6"/>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实际完成情况</w:t>
            </w:r>
          </w:p>
        </w:tc>
      </w:tr>
      <w:tr>
        <w:tblPrEx>
          <w:tblCellMar>
            <w:top w:w="0" w:type="dxa"/>
            <w:left w:w="57" w:type="dxa"/>
            <w:bottom w:w="0" w:type="dxa"/>
            <w:right w:w="57" w:type="dxa"/>
          </w:tblCellMar>
        </w:tblPrEx>
        <w:trPr>
          <w:trHeight w:val="23" w:hRule="atLeast"/>
          <w:jc w:val="center"/>
        </w:trPr>
        <w:tc>
          <w:tcPr>
            <w:tcW w:w="958" w:type="dxa"/>
            <w:vMerge w:val="continue"/>
            <w:tcBorders>
              <w:top w:val="nil"/>
              <w:left w:val="single" w:color="auto" w:sz="4" w:space="0"/>
              <w:bottom w:val="single" w:color="000000" w:sz="4" w:space="0"/>
              <w:right w:val="single" w:color="auto" w:sz="4" w:space="0"/>
            </w:tcBorders>
            <w:noWrap w:val="0"/>
            <w:vAlign w:val="center"/>
          </w:tcPr>
          <w:p>
            <w:pPr>
              <w:pStyle w:val="6"/>
              <w:widowControl/>
              <w:spacing w:line="240" w:lineRule="exact"/>
              <w:jc w:val="center"/>
              <w:rPr>
                <w:color w:val="000000"/>
                <w:szCs w:val="21"/>
              </w:rPr>
            </w:pPr>
          </w:p>
        </w:tc>
        <w:tc>
          <w:tcPr>
            <w:tcW w:w="5270" w:type="dxa"/>
            <w:gridSpan w:val="7"/>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sz w:val="18"/>
                <w:szCs w:val="18"/>
              </w:rPr>
            </w:pPr>
            <w:r>
              <w:rPr>
                <w:rFonts w:ascii="宋体" w:hAnsi="宋体"/>
                <w:sz w:val="18"/>
                <w:szCs w:val="18"/>
              </w:rPr>
              <w:t>小杜鹃科普志愿服务行动”项目包含丰富的公益性青少年科技活动、培训等，在广大青少年中营造知科学、学科学、用科学的良好氛围，进一步提高广大青少年的科学文化素质。具体包括如下活动、培训：（1）成立小杜鹃科普志愿服务队，开展“流动青少年宫”科普志愿服务活动，让科普资源和科技工作进入乡村少年宫、社区、学校开展科普志愿服务活动。（2）依托“院士来了”长沙市青少年科普公益大讲堂、青少年健康成长大课堂等活动定期开展有深度、有高度、有广度的科普主题教育活动，让青少年走进科普课堂、科普基地。（3）利用科技周、科普日、气象日、寒暑假等开展科普实践活动。</w:t>
            </w:r>
          </w:p>
          <w:p>
            <w:pPr>
              <w:pStyle w:val="6"/>
              <w:jc w:val="center"/>
              <w:rPr>
                <w:rFonts w:ascii="宋体" w:hAnsi="宋体"/>
                <w:sz w:val="18"/>
                <w:szCs w:val="18"/>
              </w:rPr>
            </w:pPr>
            <w:r>
              <w:rPr>
                <w:rFonts w:ascii="宋体" w:hAnsi="宋体"/>
                <w:sz w:val="18"/>
                <w:szCs w:val="18"/>
              </w:rPr>
              <w:t>（1）完成“院士来了”长沙市青少年科普公益大讲堂，影响覆盖至少500名青少年。邀请省级以上媒体报道。 （2）完成8期青少年健康成长大课堂、10次科普实践活动，影响覆盖至少1000名青少年。并通过长沙市青少年宫自媒体宣传报道。 （3）完成4期“流动青少年宫”科普志愿服务活动，影响覆盖至少2000名乡村青少年。邀请市级以上媒体报道。</w:t>
            </w:r>
          </w:p>
        </w:tc>
        <w:tc>
          <w:tcPr>
            <w:tcW w:w="3851" w:type="dxa"/>
            <w:gridSpan w:val="6"/>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sz w:val="18"/>
                <w:szCs w:val="18"/>
              </w:rPr>
            </w:pPr>
            <w:r>
              <w:rPr>
                <w:rFonts w:hint="eastAsia" w:ascii="宋体" w:hAnsi="宋体"/>
                <w:sz w:val="18"/>
                <w:szCs w:val="18"/>
              </w:rPr>
              <w:t>(1)成立了长沙市青少年宫小杜鹃科普志愿服务队，全年已开展4期“流动青少年宫”科普志愿服务活动。</w:t>
            </w:r>
          </w:p>
          <w:p>
            <w:pPr>
              <w:pStyle w:val="6"/>
              <w:jc w:val="center"/>
              <w:rPr>
                <w:rFonts w:ascii="宋体" w:hAnsi="宋体"/>
                <w:sz w:val="18"/>
                <w:szCs w:val="18"/>
              </w:rPr>
            </w:pPr>
            <w:r>
              <w:rPr>
                <w:rFonts w:hint="eastAsia" w:ascii="宋体" w:hAnsi="宋体"/>
                <w:sz w:val="18"/>
                <w:szCs w:val="18"/>
              </w:rPr>
              <w:t>(2)开展9期青少年健康成长大课堂等活动定期开展有深度、有高度、有广度的科普主题教育活动，让青少年走进科普课堂、提升科学素养。</w:t>
            </w:r>
          </w:p>
          <w:p>
            <w:pPr>
              <w:pStyle w:val="6"/>
              <w:jc w:val="center"/>
              <w:rPr>
                <w:rFonts w:ascii="宋体" w:hAnsi="宋体"/>
                <w:sz w:val="18"/>
                <w:szCs w:val="18"/>
              </w:rPr>
            </w:pPr>
            <w:r>
              <w:rPr>
                <w:rFonts w:hint="eastAsia" w:ascii="宋体" w:hAnsi="宋体"/>
                <w:sz w:val="18"/>
                <w:szCs w:val="18"/>
              </w:rPr>
              <w:t>(3)利用科技周、科普日、气象日、寒暑假等开展11期科普实践活动，利用青少年喜闻乐见的形式渗透科普内容，开展趣味类、体验类、创意类活动。其中包括2期科普实践基地的科普研学活动。</w:t>
            </w:r>
          </w:p>
          <w:p>
            <w:pPr>
              <w:pStyle w:val="6"/>
              <w:jc w:val="center"/>
              <w:rPr>
                <w:rFonts w:hint="eastAsia" w:ascii="宋体" w:hAnsi="宋体"/>
                <w:sz w:val="18"/>
                <w:szCs w:val="18"/>
              </w:rPr>
            </w:pPr>
            <w:r>
              <w:rPr>
                <w:rFonts w:hint="eastAsia" w:ascii="宋体" w:hAnsi="宋体"/>
                <w:sz w:val="18"/>
                <w:szCs w:val="18"/>
              </w:rPr>
              <w:t>(4)因院士档期原因，未举行线下“院士来了</w:t>
            </w:r>
          </w:p>
          <w:p>
            <w:pPr>
              <w:pStyle w:val="6"/>
              <w:jc w:val="center"/>
              <w:rPr>
                <w:rFonts w:ascii="宋体" w:hAnsi="宋体"/>
                <w:sz w:val="18"/>
                <w:szCs w:val="18"/>
              </w:rPr>
            </w:pPr>
            <w:r>
              <w:rPr>
                <w:rFonts w:hint="eastAsia" w:ascii="宋体" w:hAnsi="宋体"/>
                <w:sz w:val="18"/>
                <w:szCs w:val="18"/>
              </w:rPr>
              <w:t>”，举办了3次线上“院士来了”科普讲座</w:t>
            </w:r>
          </w:p>
        </w:tc>
      </w:tr>
      <w:tr>
        <w:trPr>
          <w:trHeight w:val="23" w:hRule="atLeast"/>
          <w:jc w:val="center"/>
        </w:trPr>
        <w:tc>
          <w:tcPr>
            <w:tcW w:w="958" w:type="dxa"/>
            <w:vMerge w:val="restart"/>
            <w:tcBorders>
              <w:top w:val="nil"/>
              <w:left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绩</w:t>
            </w:r>
          </w:p>
          <w:p>
            <w:pPr>
              <w:pStyle w:val="6"/>
              <w:widowControl/>
              <w:spacing w:line="240" w:lineRule="exact"/>
              <w:jc w:val="center"/>
              <w:rPr>
                <w:color w:val="000000"/>
                <w:szCs w:val="21"/>
              </w:rPr>
            </w:pPr>
            <w:r>
              <w:rPr>
                <w:color w:val="000000"/>
                <w:szCs w:val="21"/>
              </w:rPr>
              <w:t>效</w:t>
            </w:r>
          </w:p>
          <w:p>
            <w:pPr>
              <w:pStyle w:val="6"/>
              <w:widowControl/>
              <w:spacing w:line="240" w:lineRule="exact"/>
              <w:jc w:val="center"/>
              <w:rPr>
                <w:color w:val="000000"/>
                <w:szCs w:val="21"/>
              </w:rPr>
            </w:pPr>
            <w:r>
              <w:rPr>
                <w:color w:val="000000"/>
                <w:szCs w:val="21"/>
              </w:rPr>
              <w:t>指</w:t>
            </w:r>
          </w:p>
          <w:p>
            <w:pPr>
              <w:pStyle w:val="6"/>
              <w:widowControl/>
              <w:spacing w:line="240" w:lineRule="exact"/>
              <w:jc w:val="center"/>
              <w:rPr>
                <w:color w:val="000000"/>
                <w:szCs w:val="21"/>
              </w:rPr>
            </w:pPr>
            <w:r>
              <w:rPr>
                <w:color w:val="000000"/>
                <w:szCs w:val="21"/>
              </w:rPr>
              <w:t>标</w:t>
            </w:r>
          </w:p>
        </w:tc>
        <w:tc>
          <w:tcPr>
            <w:tcW w:w="3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color w:val="000000"/>
                <w:sz w:val="18"/>
                <w:szCs w:val="18"/>
              </w:rPr>
              <w:t>一级</w:t>
            </w:r>
          </w:p>
          <w:p>
            <w:pPr>
              <w:pStyle w:val="6"/>
              <w:widowControl/>
              <w:spacing w:line="240" w:lineRule="exact"/>
              <w:jc w:val="center"/>
              <w:rPr>
                <w:color w:val="000000"/>
                <w:sz w:val="18"/>
                <w:szCs w:val="18"/>
              </w:rPr>
            </w:pPr>
            <w:r>
              <w:rPr>
                <w:color w:val="000000"/>
                <w:sz w:val="18"/>
                <w:szCs w:val="18"/>
              </w:rPr>
              <w:t>指标</w:t>
            </w: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color w:val="000000"/>
                <w:sz w:val="18"/>
                <w:szCs w:val="18"/>
              </w:rPr>
              <w:t>二级</w:t>
            </w:r>
          </w:p>
          <w:p>
            <w:pPr>
              <w:pStyle w:val="6"/>
              <w:widowControl/>
              <w:spacing w:line="240" w:lineRule="exact"/>
              <w:jc w:val="center"/>
              <w:rPr>
                <w:color w:val="000000"/>
                <w:sz w:val="18"/>
                <w:szCs w:val="18"/>
              </w:rPr>
            </w:pPr>
            <w:r>
              <w:rPr>
                <w:color w:val="000000"/>
                <w:sz w:val="18"/>
                <w:szCs w:val="18"/>
              </w:rPr>
              <w:t>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color w:val="000000"/>
                <w:sz w:val="18"/>
                <w:szCs w:val="18"/>
              </w:rPr>
              <w:t>三级指标内容</w:t>
            </w: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color w:val="000000"/>
                <w:sz w:val="18"/>
                <w:szCs w:val="18"/>
              </w:rPr>
              <w:t>年度</w:t>
            </w:r>
          </w:p>
          <w:p>
            <w:pPr>
              <w:pStyle w:val="6"/>
              <w:widowControl/>
              <w:spacing w:line="240" w:lineRule="exact"/>
              <w:jc w:val="center"/>
              <w:rPr>
                <w:color w:val="000000"/>
                <w:sz w:val="18"/>
                <w:szCs w:val="18"/>
              </w:rPr>
            </w:pPr>
            <w:r>
              <w:rPr>
                <w:color w:val="000000"/>
                <w:sz w:val="18"/>
                <w:szCs w:val="18"/>
              </w:rPr>
              <w:t>指标值</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color w:val="000000"/>
                <w:sz w:val="18"/>
                <w:szCs w:val="18"/>
              </w:rPr>
              <w:t>实际</w:t>
            </w:r>
          </w:p>
          <w:p>
            <w:pPr>
              <w:pStyle w:val="6"/>
              <w:widowControl/>
              <w:spacing w:line="240" w:lineRule="exact"/>
              <w:jc w:val="center"/>
              <w:rPr>
                <w:color w:val="000000"/>
                <w:sz w:val="18"/>
                <w:szCs w:val="18"/>
              </w:rPr>
            </w:pPr>
            <w:r>
              <w:rPr>
                <w:color w:val="000000"/>
                <w:sz w:val="18"/>
                <w:szCs w:val="18"/>
              </w:rPr>
              <w:t>完成值</w:t>
            </w:r>
          </w:p>
        </w:tc>
        <w:tc>
          <w:tcPr>
            <w:tcW w:w="513"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color w:val="000000"/>
                <w:sz w:val="18"/>
                <w:szCs w:val="18"/>
              </w:rPr>
              <w:t>分值</w:t>
            </w:r>
          </w:p>
        </w:tc>
        <w:tc>
          <w:tcPr>
            <w:tcW w:w="588"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color w:val="000000"/>
                <w:sz w:val="18"/>
                <w:szCs w:val="18"/>
              </w:rPr>
              <w:t>得分</w:t>
            </w:r>
          </w:p>
        </w:tc>
        <w:tc>
          <w:tcPr>
            <w:tcW w:w="154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 w:val="18"/>
                <w:szCs w:val="18"/>
              </w:rPr>
            </w:pPr>
            <w:r>
              <w:rPr>
                <w:color w:val="000000"/>
                <w:sz w:val="18"/>
                <w:szCs w:val="18"/>
              </w:rPr>
              <w:t>偏差原因分析及</w:t>
            </w:r>
          </w:p>
          <w:p>
            <w:pPr>
              <w:pStyle w:val="6"/>
              <w:widowControl/>
              <w:spacing w:line="240" w:lineRule="exact"/>
              <w:jc w:val="center"/>
              <w:rPr>
                <w:color w:val="000000"/>
                <w:sz w:val="18"/>
                <w:szCs w:val="18"/>
              </w:rPr>
            </w:pPr>
            <w:r>
              <w:rPr>
                <w:color w:val="000000"/>
                <w:sz w:val="18"/>
                <w:szCs w:val="18"/>
              </w:rPr>
              <w:t>改进措施</w:t>
            </w:r>
          </w:p>
        </w:tc>
      </w:tr>
      <w:tr>
        <w:tblPrEx>
          <w:tblCellMar>
            <w:top w:w="0" w:type="dxa"/>
            <w:left w:w="57" w:type="dxa"/>
            <w:bottom w:w="0" w:type="dxa"/>
            <w:right w:w="57" w:type="dxa"/>
          </w:tblCellMar>
        </w:tblPrEx>
        <w:trPr>
          <w:trHeight w:val="23" w:hRule="atLeast"/>
          <w:jc w:val="center"/>
        </w:trPr>
        <w:tc>
          <w:tcPr>
            <w:tcW w:w="958"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30"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成本</w:t>
            </w:r>
          </w:p>
          <w:p>
            <w:pPr>
              <w:pStyle w:val="6"/>
              <w:widowControl/>
              <w:spacing w:line="240" w:lineRule="exact"/>
              <w:jc w:val="center"/>
              <w:rPr>
                <w:color w:val="000000"/>
                <w:szCs w:val="21"/>
              </w:rPr>
            </w:pPr>
            <w:r>
              <w:rPr>
                <w:color w:val="000000"/>
                <w:szCs w:val="21"/>
              </w:rPr>
              <w:t>指标</w:t>
            </w: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经济成本</w:t>
            </w:r>
          </w:p>
          <w:p>
            <w:pPr>
              <w:pStyle w:val="6"/>
              <w:widowControl/>
              <w:spacing w:line="240" w:lineRule="exact"/>
              <w:jc w:val="center"/>
              <w:rPr>
                <w:color w:val="000000"/>
                <w:szCs w:val="21"/>
              </w:rPr>
            </w:pPr>
            <w:r>
              <w:rPr>
                <w:color w:val="000000"/>
                <w:szCs w:val="21"/>
              </w:rPr>
              <w:t>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小杜鹃科普志愿服务行动”项目包含丰富的公益性青少年科技活动、培训等，在广大青少年中营造知科学、学科学、用科学的良好氛围，进一步提高广大青少年的科学文化素质。具体包括如下活动、培训：（1）成立小杜鹃科普志愿服务队，开展“流动青少年宫”科普志愿服务活动，让科普资源和科技工作进入乡村少年宫、社区、学校开展科普志愿服务活动。（2）依托“院士来了”长沙市青少年科普公益大讲堂、青少年健康成长大课堂等活动定期开展有深度、有高度、有广度的科普主题教育活动，让青少年走进科普课堂、科普基地。（3）利用科技周、科普日、气象日、寒暑假等开展科普实践活动。</w:t>
            </w: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hint="eastAsia" w:ascii="宋体" w:hAnsi="宋体"/>
                <w:color w:val="000000"/>
                <w:sz w:val="18"/>
                <w:szCs w:val="18"/>
              </w:rPr>
            </w:pPr>
            <w:r>
              <w:rPr>
                <w:rFonts w:hint="eastAsia" w:ascii="宋体" w:hAnsi="宋体"/>
                <w:color w:val="000000"/>
                <w:sz w:val="18"/>
                <w:szCs w:val="18"/>
              </w:rPr>
              <w:t>50%</w:t>
            </w:r>
          </w:p>
          <w:p>
            <w:pPr>
              <w:pStyle w:val="6"/>
              <w:spacing w:line="220" w:lineRule="exact"/>
              <w:jc w:val="center"/>
              <w:rPr>
                <w:rFonts w:ascii="宋体" w:hAnsi="宋体"/>
                <w:sz w:val="18"/>
                <w:szCs w:val="18"/>
              </w:rPr>
            </w:pPr>
            <w:r>
              <w:rPr>
                <w:rFonts w:hint="eastAsia" w:ascii="宋体" w:hAnsi="宋体"/>
                <w:sz w:val="18"/>
                <w:szCs w:val="18"/>
              </w:rPr>
              <w:t>(1)成立了长沙市青少年宫小杜鹃科普志愿服务队，全年已开展4期“流动青少年宫”科普志愿服务活动。</w:t>
            </w:r>
          </w:p>
          <w:p>
            <w:pPr>
              <w:pStyle w:val="6"/>
              <w:spacing w:line="220" w:lineRule="exact"/>
              <w:jc w:val="center"/>
              <w:rPr>
                <w:rFonts w:ascii="宋体" w:hAnsi="宋体"/>
                <w:sz w:val="18"/>
                <w:szCs w:val="18"/>
              </w:rPr>
            </w:pPr>
            <w:r>
              <w:rPr>
                <w:rFonts w:hint="eastAsia" w:ascii="宋体" w:hAnsi="宋体"/>
                <w:sz w:val="18"/>
                <w:szCs w:val="18"/>
              </w:rPr>
              <w:t>(2)开展9期青少年健康成长大课堂等活动定期开展有深度、有高度、有广度的科普主题教育活动，让青少年走进科普课堂、提升科学素养。</w:t>
            </w:r>
          </w:p>
          <w:p>
            <w:pPr>
              <w:pStyle w:val="6"/>
              <w:spacing w:line="220" w:lineRule="exact"/>
              <w:jc w:val="center"/>
              <w:rPr>
                <w:rFonts w:ascii="宋体" w:hAnsi="宋体"/>
                <w:sz w:val="18"/>
                <w:szCs w:val="18"/>
              </w:rPr>
            </w:pPr>
            <w:r>
              <w:rPr>
                <w:rFonts w:hint="eastAsia" w:ascii="宋体" w:hAnsi="宋体"/>
                <w:sz w:val="18"/>
                <w:szCs w:val="18"/>
              </w:rPr>
              <w:t>(3)利用科技周、科普日、气象日、寒暑假等开展11期科普实践活动，利用青少年喜闻乐见的形式渗透科普内容，开展趣味类、体验类、创意类活动。其中包括2期科普实践基地的科普研学活动。</w:t>
            </w:r>
          </w:p>
        </w:tc>
        <w:tc>
          <w:tcPr>
            <w:tcW w:w="513" w:type="dxa"/>
            <w:gridSpan w:val="2"/>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588"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0</w:t>
            </w:r>
          </w:p>
        </w:tc>
        <w:tc>
          <w:tcPr>
            <w:tcW w:w="1544" w:type="dxa"/>
            <w:tcBorders>
              <w:top w:val="nil"/>
              <w:left w:val="nil"/>
              <w:bottom w:val="single" w:color="auto" w:sz="4" w:space="0"/>
              <w:right w:val="single" w:color="auto" w:sz="4" w:space="0"/>
            </w:tcBorders>
            <w:noWrap w:val="0"/>
            <w:vAlign w:val="center"/>
          </w:tcPr>
          <w:p>
            <w:pPr>
              <w:pStyle w:val="6"/>
              <w:spacing w:line="220" w:lineRule="exact"/>
              <w:jc w:val="center"/>
              <w:rPr>
                <w:rFonts w:hint="eastAsia" w:ascii="宋体" w:hAnsi="宋体"/>
                <w:sz w:val="18"/>
                <w:szCs w:val="18"/>
              </w:rPr>
            </w:pPr>
            <w:r>
              <w:rPr>
                <w:rFonts w:hint="eastAsia" w:ascii="宋体" w:hAnsi="宋体"/>
                <w:sz w:val="18"/>
                <w:szCs w:val="18"/>
              </w:rPr>
              <w:t>因院士档期原因，未举行线下“院士来了”活动，但共举办了3次线上“院士来了”科普公益讲座。2024用其他资金完成“院士来了”活动</w:t>
            </w:r>
          </w:p>
        </w:tc>
      </w:tr>
      <w:tr>
        <w:trPr>
          <w:trHeight w:val="23" w:hRule="atLeast"/>
          <w:jc w:val="center"/>
        </w:trPr>
        <w:tc>
          <w:tcPr>
            <w:tcW w:w="958"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社会成本</w:t>
            </w:r>
          </w:p>
          <w:p>
            <w:pPr>
              <w:pStyle w:val="6"/>
              <w:widowControl/>
              <w:spacing w:line="240" w:lineRule="exact"/>
              <w:jc w:val="center"/>
              <w:rPr>
                <w:color w:val="000000"/>
                <w:szCs w:val="21"/>
              </w:rPr>
            </w:pPr>
            <w:r>
              <w:rPr>
                <w:color w:val="000000"/>
                <w:szCs w:val="21"/>
              </w:rPr>
              <w:t>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为当地的青少年带去科普体验课、科普实践活动，促进教育公平、乡村振兴；培养青少年对科学技术的兴趣和爱好，增强其创新精神和实践能力，引导他们树立实现祖国科技自立自强的远大目标；在广大青少年中营造知科学、学科学、用科学的良好氛围，进一步提高广大青少年的科学文化素质。</w:t>
            </w: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分值10分</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hint="eastAsia" w:ascii="宋体" w:hAnsi="宋体"/>
                <w:color w:val="000000"/>
                <w:sz w:val="18"/>
                <w:szCs w:val="18"/>
              </w:rPr>
            </w:pPr>
            <w:r>
              <w:rPr>
                <w:rFonts w:hint="eastAsia" w:ascii="宋体" w:hAnsi="宋体"/>
                <w:color w:val="000000"/>
                <w:sz w:val="18"/>
                <w:szCs w:val="18"/>
              </w:rPr>
              <w:t>100%</w:t>
            </w:r>
          </w:p>
          <w:p>
            <w:pPr>
              <w:pStyle w:val="15"/>
              <w:spacing w:line="220" w:lineRule="exact"/>
              <w:ind w:firstLine="360"/>
              <w:jc w:val="center"/>
              <w:rPr>
                <w:rFonts w:eastAsia="宋体"/>
                <w:sz w:val="18"/>
                <w:szCs w:val="18"/>
              </w:rPr>
            </w:pPr>
            <w:r>
              <w:rPr>
                <w:rFonts w:eastAsia="宋体"/>
                <w:sz w:val="18"/>
                <w:szCs w:val="18"/>
              </w:rPr>
              <w:t>为当地的青少年带去科普体验课、科普实践活动，促进教育公平、乡村振兴；培养青少年对科学技术的兴趣和爱好，增强其创新精神和实践能力，引导他们树立实现祖国科技自立自强的远大目标；在广大青少年中营造知科学、学科学、用科学的良好氛围，进一步提高广大青少年的科学文化素质。</w:t>
            </w:r>
          </w:p>
        </w:tc>
        <w:tc>
          <w:tcPr>
            <w:tcW w:w="513" w:type="dxa"/>
            <w:gridSpan w:val="2"/>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588"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1544"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p>
        </w:tc>
      </w:tr>
      <w:tr>
        <w:tblPrEx>
          <w:tblCellMar>
            <w:top w:w="0" w:type="dxa"/>
            <w:left w:w="57" w:type="dxa"/>
            <w:bottom w:w="0" w:type="dxa"/>
            <w:right w:w="57" w:type="dxa"/>
          </w:tblCellMar>
        </w:tblPrEx>
        <w:trPr>
          <w:trHeight w:val="23" w:hRule="atLeast"/>
          <w:jc w:val="center"/>
        </w:trPr>
        <w:tc>
          <w:tcPr>
            <w:tcW w:w="958"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30"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产出</w:t>
            </w:r>
          </w:p>
          <w:p>
            <w:pPr>
              <w:pStyle w:val="6"/>
              <w:widowControl/>
              <w:spacing w:line="240" w:lineRule="exact"/>
              <w:jc w:val="center"/>
              <w:rPr>
                <w:color w:val="000000"/>
                <w:szCs w:val="21"/>
              </w:rPr>
            </w:pPr>
            <w:r>
              <w:rPr>
                <w:color w:val="000000"/>
                <w:szCs w:val="21"/>
              </w:rPr>
              <w:t>指标</w:t>
            </w: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数量指标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成立小杜鹃科普志愿服务队，开展“流动青少年宫”科普志愿服务活动，全年开展4期活动，覆盖2000人；全年开展1期“院士来了”长沙市青少年科普公益大讲堂，8期青少年健康成长大课堂，参加人数1000人；利用科技周、科普日、气象日、寒暑假等开展科普实践活动，开展10次活动，其中包括至少2期外出研学活动，参加人数500人</w:t>
            </w: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分值20分</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spacing w:line="220" w:lineRule="exact"/>
              <w:jc w:val="center"/>
              <w:rPr>
                <w:rFonts w:hint="eastAsia" w:ascii="宋体" w:hAnsi="宋体"/>
                <w:sz w:val="18"/>
                <w:szCs w:val="18"/>
              </w:rPr>
            </w:pPr>
            <w:r>
              <w:rPr>
                <w:rFonts w:hint="eastAsia" w:ascii="宋体" w:hAnsi="宋体"/>
                <w:sz w:val="18"/>
                <w:szCs w:val="18"/>
              </w:rPr>
              <w:t>70%</w:t>
            </w:r>
          </w:p>
          <w:p>
            <w:pPr>
              <w:pStyle w:val="6"/>
              <w:spacing w:line="220" w:lineRule="exact"/>
              <w:jc w:val="center"/>
              <w:rPr>
                <w:rFonts w:ascii="宋体" w:hAnsi="宋体"/>
                <w:sz w:val="18"/>
                <w:szCs w:val="18"/>
              </w:rPr>
            </w:pPr>
            <w:r>
              <w:rPr>
                <w:rFonts w:hint="eastAsia" w:ascii="宋体" w:hAnsi="宋体"/>
                <w:sz w:val="18"/>
                <w:szCs w:val="18"/>
              </w:rPr>
              <w:t>(1)成立了长沙市青少年宫小杜鹃科普志愿服务队，全年已开展4期“流动青少年宫”科普志愿服务活动，影响覆盖超过</w:t>
            </w:r>
            <w:r>
              <w:rPr>
                <w:rFonts w:ascii="宋体" w:hAnsi="宋体"/>
                <w:sz w:val="18"/>
                <w:szCs w:val="18"/>
              </w:rPr>
              <w:t>2000</w:t>
            </w:r>
            <w:r>
              <w:rPr>
                <w:rFonts w:hint="eastAsia" w:ascii="宋体" w:hAnsi="宋体"/>
                <w:sz w:val="18"/>
                <w:szCs w:val="18"/>
              </w:rPr>
              <w:t>名乡村青少年。</w:t>
            </w:r>
          </w:p>
          <w:p>
            <w:pPr>
              <w:pStyle w:val="6"/>
              <w:spacing w:line="220" w:lineRule="exact"/>
              <w:jc w:val="center"/>
              <w:rPr>
                <w:rFonts w:ascii="宋体" w:hAnsi="宋体"/>
                <w:sz w:val="18"/>
                <w:szCs w:val="18"/>
              </w:rPr>
            </w:pPr>
            <w:r>
              <w:rPr>
                <w:rFonts w:hint="eastAsia" w:ascii="宋体" w:hAnsi="宋体"/>
                <w:sz w:val="18"/>
                <w:szCs w:val="18"/>
              </w:rPr>
              <w:t>(2)开展9期青少年健康成长大课堂等活动定期开展有深度、有高度、有广度的科普主题教育活动，让青少年走进科普课堂、提升科学素养。利用科技周、科普日、气象日、寒暑假等开展11期科普实践活动，利用青少年喜闻乐见的形式渗透科普内容，开展趣味类、体验类、创意类活动。其中包括2期科普实践基地的科普研学活动，1500多名青少年参与活动。</w:t>
            </w:r>
          </w:p>
          <w:p>
            <w:pPr>
              <w:pStyle w:val="6"/>
              <w:spacing w:line="220" w:lineRule="exact"/>
              <w:jc w:val="center"/>
              <w:rPr>
                <w:rFonts w:ascii="宋体" w:hAnsi="宋体"/>
                <w:sz w:val="18"/>
                <w:szCs w:val="18"/>
              </w:rPr>
            </w:pPr>
          </w:p>
        </w:tc>
        <w:tc>
          <w:tcPr>
            <w:tcW w:w="513" w:type="dxa"/>
            <w:gridSpan w:val="2"/>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20</w:t>
            </w:r>
          </w:p>
        </w:tc>
        <w:tc>
          <w:tcPr>
            <w:tcW w:w="588"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16</w:t>
            </w:r>
          </w:p>
        </w:tc>
        <w:tc>
          <w:tcPr>
            <w:tcW w:w="1544"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sz w:val="18"/>
                <w:szCs w:val="18"/>
              </w:rPr>
              <w:t>因院士档期原因，未举行线下“院士来了”活动，但共举办了3次线上“院士来了”科普公益讲座。2024用其他资金完成“院士来了”活动</w:t>
            </w:r>
          </w:p>
        </w:tc>
      </w:tr>
      <w:tr>
        <w:trPr>
          <w:trHeight w:val="23" w:hRule="atLeast"/>
          <w:jc w:val="center"/>
        </w:trPr>
        <w:tc>
          <w:tcPr>
            <w:tcW w:w="958"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spacing w:line="240" w:lineRule="exact"/>
              <w:jc w:val="center"/>
              <w:rPr>
                <w:color w:val="000000"/>
                <w:szCs w:val="21"/>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质量指标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开展“流动青少年宫”进乡村、进学校；邀请院士及科技工作者授课；开展趣味类、体验类、创意类活动效果</w:t>
            </w: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分值5分</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hint="eastAsia" w:ascii="宋体" w:hAnsi="宋体"/>
                <w:color w:val="000000"/>
                <w:sz w:val="18"/>
                <w:szCs w:val="18"/>
              </w:rPr>
            </w:pPr>
            <w:r>
              <w:rPr>
                <w:rFonts w:hint="eastAsia" w:ascii="宋体" w:hAnsi="宋体"/>
                <w:color w:val="000000"/>
                <w:sz w:val="18"/>
                <w:szCs w:val="18"/>
              </w:rPr>
              <w:t>80%</w:t>
            </w:r>
          </w:p>
          <w:p>
            <w:pPr>
              <w:pStyle w:val="15"/>
              <w:spacing w:line="220" w:lineRule="exact"/>
              <w:ind w:firstLine="360"/>
              <w:jc w:val="center"/>
              <w:rPr>
                <w:rFonts w:eastAsia="宋体"/>
                <w:sz w:val="18"/>
                <w:szCs w:val="18"/>
              </w:rPr>
            </w:pPr>
            <w:r>
              <w:rPr>
                <w:rFonts w:eastAsia="宋体"/>
                <w:sz w:val="18"/>
                <w:szCs w:val="18"/>
              </w:rPr>
              <w:t>开展“流动青少年宫”进乡村、进学校；开展趣味类、体验类、创意类活动效果</w:t>
            </w:r>
          </w:p>
        </w:tc>
        <w:tc>
          <w:tcPr>
            <w:tcW w:w="513" w:type="dxa"/>
            <w:gridSpan w:val="2"/>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5</w:t>
            </w:r>
          </w:p>
        </w:tc>
        <w:tc>
          <w:tcPr>
            <w:tcW w:w="588"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4</w:t>
            </w:r>
          </w:p>
        </w:tc>
        <w:tc>
          <w:tcPr>
            <w:tcW w:w="1544"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sz w:val="18"/>
                <w:szCs w:val="18"/>
              </w:rPr>
              <w:t>因院士档期原因，未举行线下“院士来了”活动，但共举办了3次线上“院士来了”科普公益讲座。2024用其他资金完成“院士来了”活动</w:t>
            </w:r>
          </w:p>
        </w:tc>
      </w:tr>
      <w:tr>
        <w:tblPrEx>
          <w:tblCellMar>
            <w:top w:w="0" w:type="dxa"/>
            <w:left w:w="57" w:type="dxa"/>
            <w:bottom w:w="0" w:type="dxa"/>
            <w:right w:w="57" w:type="dxa"/>
          </w:tblCellMar>
        </w:tblPrEx>
        <w:trPr>
          <w:trHeight w:val="818" w:hRule="atLeast"/>
          <w:jc w:val="center"/>
        </w:trPr>
        <w:tc>
          <w:tcPr>
            <w:tcW w:w="958"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spacing w:line="240" w:lineRule="exact"/>
              <w:jc w:val="center"/>
              <w:rPr>
                <w:color w:val="000000"/>
                <w:szCs w:val="21"/>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时效指标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12月31日前完成</w:t>
            </w: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分值5分</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80%</w:t>
            </w:r>
          </w:p>
        </w:tc>
        <w:tc>
          <w:tcPr>
            <w:tcW w:w="513" w:type="dxa"/>
            <w:gridSpan w:val="2"/>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5</w:t>
            </w:r>
          </w:p>
        </w:tc>
        <w:tc>
          <w:tcPr>
            <w:tcW w:w="588"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4</w:t>
            </w:r>
          </w:p>
        </w:tc>
        <w:tc>
          <w:tcPr>
            <w:tcW w:w="1544"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sz w:val="18"/>
                <w:szCs w:val="18"/>
              </w:rPr>
              <w:t>因院士档期原因，未举行线下“院士来了”活动，但共举办了3次线上“院士来了”科普公益讲座。2024用其他资金完成“院士来了”活动</w:t>
            </w:r>
          </w:p>
        </w:tc>
      </w:tr>
      <w:tr>
        <w:trPr>
          <w:trHeight w:val="23" w:hRule="atLeast"/>
          <w:jc w:val="center"/>
        </w:trPr>
        <w:tc>
          <w:tcPr>
            <w:tcW w:w="958"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30"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效益</w:t>
            </w:r>
          </w:p>
          <w:p>
            <w:pPr>
              <w:pStyle w:val="6"/>
              <w:widowControl/>
              <w:spacing w:line="240" w:lineRule="exact"/>
              <w:jc w:val="center"/>
              <w:rPr>
                <w:color w:val="000000"/>
                <w:szCs w:val="21"/>
              </w:rPr>
            </w:pPr>
            <w:r>
              <w:rPr>
                <w:color w:val="000000"/>
                <w:szCs w:val="21"/>
              </w:rPr>
              <w:t>指标</w:t>
            </w: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经济效益</w:t>
            </w:r>
          </w:p>
          <w:p>
            <w:pPr>
              <w:pStyle w:val="6"/>
              <w:widowControl/>
              <w:spacing w:line="240" w:lineRule="exact"/>
              <w:jc w:val="center"/>
              <w:rPr>
                <w:color w:val="000000"/>
                <w:szCs w:val="21"/>
              </w:rPr>
            </w:pPr>
            <w:r>
              <w:rPr>
                <w:color w:val="000000"/>
                <w:szCs w:val="21"/>
              </w:rPr>
              <w:t>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hint="eastAsia" w:ascii="宋体" w:hAnsi="宋体"/>
                <w:sz w:val="18"/>
                <w:szCs w:val="18"/>
                <w:lang w:eastAsia="zh-CN"/>
              </w:rPr>
            </w:pPr>
            <w:r>
              <w:rPr>
                <w:rFonts w:hint="eastAsia" w:ascii="宋体" w:hAnsi="宋体"/>
                <w:sz w:val="18"/>
                <w:szCs w:val="18"/>
                <w:lang w:eastAsia="zh-CN"/>
              </w:rPr>
              <w:t>、</w:t>
            </w:r>
          </w:p>
          <w:p>
            <w:pPr>
              <w:pStyle w:val="6"/>
              <w:widowControl/>
              <w:spacing w:line="220" w:lineRule="exact"/>
              <w:jc w:val="center"/>
              <w:rPr>
                <w:rFonts w:hint="eastAsia" w:ascii="宋体" w:hAnsi="宋体"/>
                <w:sz w:val="18"/>
                <w:szCs w:val="18"/>
                <w:lang w:eastAsia="zh-CN"/>
              </w:rPr>
            </w:pPr>
          </w:p>
          <w:p>
            <w:pPr>
              <w:pStyle w:val="6"/>
              <w:widowControl/>
              <w:spacing w:line="220" w:lineRule="exact"/>
              <w:jc w:val="center"/>
              <w:rPr>
                <w:rFonts w:ascii="宋体" w:hAnsi="宋体"/>
                <w:sz w:val="18"/>
                <w:szCs w:val="18"/>
              </w:rPr>
            </w:pPr>
            <w:r>
              <w:rPr>
                <w:rFonts w:ascii="宋体" w:hAnsi="宋体"/>
                <w:sz w:val="18"/>
                <w:szCs w:val="18"/>
              </w:rPr>
              <w:t>开展“流动青少年宫”科普志愿服务活动投入2万元；“院士来了”长沙市青少年科普公益大讲堂、青少年健康成长大课堂等活动投入4万元；利用科技周、科普日、气象日、寒暑假等科普实践活动投入2万元</w:t>
            </w:r>
          </w:p>
          <w:p>
            <w:pPr>
              <w:pStyle w:val="6"/>
              <w:widowControl/>
              <w:spacing w:line="220" w:lineRule="exact"/>
              <w:jc w:val="center"/>
              <w:rPr>
                <w:rFonts w:ascii="宋体" w:hAnsi="宋体"/>
                <w:sz w:val="18"/>
                <w:szCs w:val="18"/>
              </w:rPr>
            </w:pP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分值10分</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hint="eastAsia" w:ascii="宋体" w:hAnsi="宋体"/>
                <w:color w:val="000000"/>
                <w:sz w:val="18"/>
                <w:szCs w:val="18"/>
              </w:rPr>
            </w:pPr>
            <w:r>
              <w:rPr>
                <w:rFonts w:hint="eastAsia" w:ascii="宋体" w:hAnsi="宋体"/>
                <w:color w:val="000000"/>
                <w:sz w:val="18"/>
                <w:szCs w:val="18"/>
              </w:rPr>
              <w:t>70%</w:t>
            </w:r>
          </w:p>
          <w:p>
            <w:pPr>
              <w:pStyle w:val="15"/>
              <w:spacing w:line="220" w:lineRule="exact"/>
              <w:ind w:firstLine="360"/>
              <w:jc w:val="center"/>
              <w:rPr>
                <w:rFonts w:eastAsia="宋体"/>
                <w:sz w:val="18"/>
                <w:szCs w:val="18"/>
              </w:rPr>
            </w:pPr>
            <w:r>
              <w:rPr>
                <w:rFonts w:eastAsia="宋体"/>
                <w:sz w:val="18"/>
                <w:szCs w:val="18"/>
              </w:rPr>
              <w:t>开展“流动青少年宫”科普志愿服务活动投入18147.5万元；利用科技周、科普日、气象日、寒暑假等科普实践活动投入</w:t>
            </w:r>
            <w:r>
              <w:rPr>
                <w:rFonts w:hint="eastAsia" w:eastAsia="宋体"/>
                <w:sz w:val="18"/>
                <w:szCs w:val="18"/>
              </w:rPr>
              <w:t>20175</w:t>
            </w:r>
            <w:r>
              <w:rPr>
                <w:rFonts w:eastAsia="宋体"/>
                <w:sz w:val="18"/>
                <w:szCs w:val="18"/>
              </w:rPr>
              <w:t>万元</w:t>
            </w:r>
          </w:p>
        </w:tc>
        <w:tc>
          <w:tcPr>
            <w:tcW w:w="513" w:type="dxa"/>
            <w:gridSpan w:val="2"/>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588"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8</w:t>
            </w:r>
          </w:p>
        </w:tc>
        <w:tc>
          <w:tcPr>
            <w:tcW w:w="1544"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sz w:val="18"/>
                <w:szCs w:val="18"/>
              </w:rPr>
              <w:t>因院士档期原因，未举行线下“院士来了”活动，但共举办了3次线上“院士来了”科普公益讲座。2024用其他资金完成“院士来了”活动</w:t>
            </w:r>
          </w:p>
        </w:tc>
      </w:tr>
      <w:tr>
        <w:tblPrEx>
          <w:tblCellMar>
            <w:top w:w="0" w:type="dxa"/>
            <w:left w:w="57" w:type="dxa"/>
            <w:bottom w:w="0" w:type="dxa"/>
            <w:right w:w="57" w:type="dxa"/>
          </w:tblCellMar>
        </w:tblPrEx>
        <w:trPr>
          <w:trHeight w:val="23" w:hRule="atLeast"/>
          <w:jc w:val="center"/>
        </w:trPr>
        <w:tc>
          <w:tcPr>
            <w:tcW w:w="958"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spacing w:line="240" w:lineRule="exact"/>
              <w:jc w:val="center"/>
              <w:rPr>
                <w:color w:val="000000"/>
                <w:szCs w:val="21"/>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社会效益</w:t>
            </w:r>
          </w:p>
          <w:p>
            <w:pPr>
              <w:pStyle w:val="6"/>
              <w:widowControl/>
              <w:spacing w:line="240" w:lineRule="exact"/>
              <w:jc w:val="center"/>
              <w:rPr>
                <w:color w:val="000000"/>
                <w:szCs w:val="21"/>
              </w:rPr>
            </w:pPr>
            <w:r>
              <w:rPr>
                <w:color w:val="000000"/>
                <w:szCs w:val="21"/>
              </w:rPr>
              <w:t>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为当地的青少年带去科普体验课、科普实践活动，促进教育公平、乡村振兴；培养青少年对科学技术的兴趣和爱好，增强其创新精神和实践能力，引导他们树立实现祖国科技自立自强的远大目标；在广大青少年中营造知科学、学科学、用科学的良好氛围，进一步提高广大青少年的科学文化素质。</w:t>
            </w: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分值10分</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hint="eastAsia" w:ascii="宋体" w:hAnsi="宋体"/>
                <w:color w:val="000000"/>
                <w:sz w:val="18"/>
                <w:szCs w:val="18"/>
              </w:rPr>
            </w:pPr>
            <w:r>
              <w:rPr>
                <w:rFonts w:hint="eastAsia" w:ascii="宋体" w:hAnsi="宋体"/>
                <w:color w:val="000000"/>
                <w:sz w:val="18"/>
                <w:szCs w:val="18"/>
              </w:rPr>
              <w:t>100%</w:t>
            </w:r>
          </w:p>
          <w:p>
            <w:pPr>
              <w:pStyle w:val="15"/>
              <w:spacing w:line="220" w:lineRule="exact"/>
              <w:ind w:firstLine="360"/>
              <w:jc w:val="center"/>
              <w:rPr>
                <w:rFonts w:eastAsia="宋体"/>
                <w:sz w:val="18"/>
                <w:szCs w:val="18"/>
              </w:rPr>
            </w:pPr>
            <w:r>
              <w:rPr>
                <w:rFonts w:eastAsia="宋体"/>
                <w:sz w:val="18"/>
                <w:szCs w:val="18"/>
              </w:rPr>
              <w:t>为当地的青少年带去科普体验课、科普实践活动，促进教育公平、乡村振兴；培养青少年对科学技术的兴趣和爱好，增强其创新精神和实践能力，引导他们树立实现祖国科技自立自强的远大目标；在广大青少年中营造知科学、学科学、用科学的良好氛围，进一步提高广大青少年的科学文化素质。</w:t>
            </w:r>
          </w:p>
        </w:tc>
        <w:tc>
          <w:tcPr>
            <w:tcW w:w="513" w:type="dxa"/>
            <w:gridSpan w:val="2"/>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588"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1544"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p>
        </w:tc>
      </w:tr>
      <w:tr>
        <w:trPr>
          <w:trHeight w:val="23" w:hRule="atLeast"/>
          <w:jc w:val="center"/>
        </w:trPr>
        <w:tc>
          <w:tcPr>
            <w:tcW w:w="958" w:type="dxa"/>
            <w:vMerge w:val="continue"/>
            <w:tcBorders>
              <w:left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330"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可持续影响</w:t>
            </w:r>
          </w:p>
          <w:p>
            <w:pPr>
              <w:pStyle w:val="6"/>
              <w:widowControl/>
              <w:spacing w:line="240" w:lineRule="exact"/>
              <w:jc w:val="center"/>
              <w:rPr>
                <w:color w:val="000000"/>
                <w:szCs w:val="21"/>
              </w:rPr>
            </w:pPr>
            <w:r>
              <w:rPr>
                <w:color w:val="000000"/>
                <w:szCs w:val="21"/>
              </w:rPr>
              <w:t>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让科普资源和科技工作者走出去，可持续影响时限长久；在小朋友心中种下一颗科学的种子，可持续影响时限长久；创造青少年科技人才培养的良好氛围，可持续影响时限长久</w:t>
            </w: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分值10分</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hint="eastAsia" w:ascii="宋体" w:hAnsi="宋体"/>
                <w:color w:val="000000"/>
                <w:sz w:val="18"/>
                <w:szCs w:val="18"/>
              </w:rPr>
            </w:pPr>
            <w:r>
              <w:rPr>
                <w:rFonts w:hint="eastAsia" w:ascii="宋体" w:hAnsi="宋体"/>
                <w:color w:val="000000"/>
                <w:sz w:val="18"/>
                <w:szCs w:val="18"/>
              </w:rPr>
              <w:t>100%</w:t>
            </w:r>
          </w:p>
          <w:p>
            <w:pPr>
              <w:pStyle w:val="15"/>
              <w:spacing w:line="220" w:lineRule="exact"/>
              <w:ind w:firstLine="360"/>
              <w:jc w:val="center"/>
              <w:rPr>
                <w:rFonts w:eastAsia="宋体"/>
                <w:sz w:val="18"/>
                <w:szCs w:val="18"/>
              </w:rPr>
            </w:pPr>
            <w:r>
              <w:rPr>
                <w:rFonts w:eastAsia="宋体"/>
                <w:sz w:val="18"/>
                <w:szCs w:val="18"/>
              </w:rPr>
              <w:t>让科普资源和科技工作者走出去，可持续影响时限长久；在小朋友心中种下一颗科学的种子，可持续影响时限长久；创造青少年科技人才培养的良好氛围，可持续影响时限长久</w:t>
            </w:r>
          </w:p>
        </w:tc>
        <w:tc>
          <w:tcPr>
            <w:tcW w:w="513" w:type="dxa"/>
            <w:gridSpan w:val="2"/>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588"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p>
        </w:tc>
      </w:tr>
      <w:tr>
        <w:tblPrEx>
          <w:tblCellMar>
            <w:top w:w="0" w:type="dxa"/>
            <w:left w:w="57" w:type="dxa"/>
            <w:bottom w:w="0" w:type="dxa"/>
            <w:right w:w="57" w:type="dxa"/>
          </w:tblCellMar>
        </w:tblPrEx>
        <w:trPr>
          <w:trHeight w:val="23" w:hRule="atLeast"/>
          <w:jc w:val="center"/>
        </w:trPr>
        <w:tc>
          <w:tcPr>
            <w:tcW w:w="958" w:type="dxa"/>
            <w:vMerge w:val="continue"/>
            <w:tcBorders>
              <w:left w:val="single" w:color="auto" w:sz="4" w:space="0"/>
              <w:right w:val="single" w:color="auto" w:sz="4" w:space="0"/>
            </w:tcBorders>
            <w:noWrap w:val="0"/>
            <w:vAlign w:val="center"/>
          </w:tcPr>
          <w:p>
            <w:pPr>
              <w:pStyle w:val="6"/>
              <w:spacing w:line="240" w:lineRule="exact"/>
              <w:jc w:val="center"/>
              <w:rPr>
                <w:color w:val="000000"/>
                <w:szCs w:val="21"/>
              </w:rPr>
            </w:pPr>
          </w:p>
        </w:tc>
        <w:tc>
          <w:tcPr>
            <w:tcW w:w="330"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满意度指标</w:t>
            </w:r>
          </w:p>
        </w:tc>
        <w:tc>
          <w:tcPr>
            <w:tcW w:w="345"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服务对象</w:t>
            </w:r>
          </w:p>
          <w:p>
            <w:pPr>
              <w:pStyle w:val="6"/>
              <w:widowControl/>
              <w:spacing w:line="240" w:lineRule="exact"/>
              <w:jc w:val="center"/>
              <w:rPr>
                <w:color w:val="000000"/>
                <w:szCs w:val="21"/>
              </w:rPr>
            </w:pPr>
            <w:r>
              <w:rPr>
                <w:color w:val="000000"/>
                <w:szCs w:val="21"/>
              </w:rPr>
              <w:t>满意度指标</w:t>
            </w:r>
          </w:p>
        </w:tc>
        <w:tc>
          <w:tcPr>
            <w:tcW w:w="3120"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让参加活动的学员、家长满意，学校认可</w:t>
            </w:r>
          </w:p>
        </w:tc>
        <w:tc>
          <w:tcPr>
            <w:tcW w:w="289" w:type="dxa"/>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ascii="宋体" w:hAnsi="宋体"/>
                <w:sz w:val="18"/>
                <w:szCs w:val="18"/>
              </w:rPr>
              <w:t>分值10分</w:t>
            </w:r>
          </w:p>
        </w:tc>
        <w:tc>
          <w:tcPr>
            <w:tcW w:w="2392" w:type="dxa"/>
            <w:gridSpan w:val="3"/>
            <w:tcBorders>
              <w:top w:val="single" w:color="auto" w:sz="4" w:space="0"/>
              <w:left w:val="single" w:color="auto" w:sz="4" w:space="0"/>
              <w:bottom w:val="single" w:color="auto" w:sz="4" w:space="0"/>
              <w:right w:val="single" w:color="auto" w:sz="4" w:space="0"/>
            </w:tcBorders>
            <w:noWrap w:val="0"/>
            <w:vAlign w:val="center"/>
          </w:tcPr>
          <w:p>
            <w:pPr>
              <w:pStyle w:val="6"/>
              <w:widowControl/>
              <w:spacing w:line="220" w:lineRule="exact"/>
              <w:jc w:val="center"/>
              <w:rPr>
                <w:rFonts w:hint="eastAsia" w:ascii="宋体" w:hAnsi="宋体"/>
                <w:color w:val="000000"/>
                <w:sz w:val="18"/>
                <w:szCs w:val="18"/>
              </w:rPr>
            </w:pPr>
            <w:r>
              <w:rPr>
                <w:rFonts w:hint="eastAsia" w:ascii="宋体" w:hAnsi="宋体"/>
                <w:color w:val="000000"/>
                <w:sz w:val="18"/>
                <w:szCs w:val="18"/>
              </w:rPr>
              <w:t>100%</w:t>
            </w:r>
          </w:p>
          <w:p>
            <w:pPr>
              <w:pStyle w:val="6"/>
              <w:widowControl/>
              <w:spacing w:line="220" w:lineRule="exact"/>
              <w:ind w:firstLine="360" w:firstLineChars="200"/>
              <w:jc w:val="center"/>
              <w:rPr>
                <w:rFonts w:eastAsia="宋体"/>
                <w:sz w:val="18"/>
                <w:szCs w:val="18"/>
              </w:rPr>
            </w:pPr>
            <w:r>
              <w:rPr>
                <w:rFonts w:eastAsia="宋体"/>
                <w:sz w:val="18"/>
                <w:szCs w:val="18"/>
              </w:rPr>
              <w:t>让参加活动的学员、家长满意，学校认可</w:t>
            </w:r>
          </w:p>
        </w:tc>
        <w:tc>
          <w:tcPr>
            <w:tcW w:w="513" w:type="dxa"/>
            <w:gridSpan w:val="2"/>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588"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r>
              <w:rPr>
                <w:rFonts w:hint="eastAsia" w:ascii="宋体" w:hAnsi="宋体"/>
                <w:color w:val="000000"/>
                <w:sz w:val="18"/>
                <w:szCs w:val="18"/>
              </w:rPr>
              <w:t>10</w:t>
            </w:r>
          </w:p>
        </w:tc>
        <w:tc>
          <w:tcPr>
            <w:tcW w:w="1544" w:type="dxa"/>
            <w:tcBorders>
              <w:top w:val="nil"/>
              <w:left w:val="nil"/>
              <w:bottom w:val="single" w:color="auto" w:sz="4" w:space="0"/>
              <w:right w:val="single" w:color="auto" w:sz="4" w:space="0"/>
            </w:tcBorders>
            <w:noWrap w:val="0"/>
            <w:vAlign w:val="center"/>
          </w:tcPr>
          <w:p>
            <w:pPr>
              <w:pStyle w:val="6"/>
              <w:widowControl/>
              <w:spacing w:line="220" w:lineRule="exact"/>
              <w:jc w:val="center"/>
              <w:rPr>
                <w:rFonts w:ascii="宋体" w:hAnsi="宋体"/>
                <w:color w:val="000000"/>
                <w:sz w:val="18"/>
                <w:szCs w:val="18"/>
              </w:rPr>
            </w:pPr>
          </w:p>
        </w:tc>
      </w:tr>
      <w:tr>
        <w:trPr>
          <w:trHeight w:val="23" w:hRule="atLeast"/>
          <w:jc w:val="center"/>
        </w:trPr>
        <w:tc>
          <w:tcPr>
            <w:tcW w:w="7434" w:type="dxa"/>
            <w:gridSpan w:val="10"/>
            <w:tcBorders>
              <w:top w:val="single" w:color="auto" w:sz="4" w:space="0"/>
              <w:left w:val="single" w:color="auto" w:sz="4" w:space="0"/>
              <w:bottom w:val="single" w:color="auto" w:sz="4" w:space="0"/>
              <w:right w:val="single" w:color="000000" w:sz="4" w:space="0"/>
            </w:tcBorders>
            <w:noWrap w:val="0"/>
            <w:vAlign w:val="center"/>
          </w:tcPr>
          <w:p>
            <w:pPr>
              <w:pStyle w:val="6"/>
              <w:widowControl/>
              <w:spacing w:line="240" w:lineRule="exact"/>
              <w:jc w:val="center"/>
              <w:rPr>
                <w:color w:val="000000"/>
                <w:szCs w:val="21"/>
              </w:rPr>
            </w:pPr>
            <w:r>
              <w:rPr>
                <w:color w:val="000000"/>
                <w:szCs w:val="21"/>
              </w:rPr>
              <w:t>总  分</w:t>
            </w:r>
          </w:p>
        </w:tc>
        <w:tc>
          <w:tcPr>
            <w:tcW w:w="513" w:type="dxa"/>
            <w:gridSpan w:val="2"/>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color w:val="000000"/>
                <w:szCs w:val="21"/>
              </w:rPr>
              <w:t>100</w:t>
            </w:r>
          </w:p>
        </w:tc>
        <w:tc>
          <w:tcPr>
            <w:tcW w:w="588"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r>
              <w:rPr>
                <w:rFonts w:hint="eastAsia"/>
                <w:color w:val="000000"/>
                <w:szCs w:val="21"/>
              </w:rPr>
              <w:t>76.79</w:t>
            </w:r>
          </w:p>
        </w:tc>
        <w:tc>
          <w:tcPr>
            <w:tcW w:w="1544" w:type="dxa"/>
            <w:tcBorders>
              <w:top w:val="nil"/>
              <w:left w:val="nil"/>
              <w:bottom w:val="single" w:color="auto" w:sz="4" w:space="0"/>
              <w:right w:val="single" w:color="auto" w:sz="4" w:space="0"/>
            </w:tcBorders>
            <w:noWrap w:val="0"/>
            <w:vAlign w:val="center"/>
          </w:tcPr>
          <w:p>
            <w:pPr>
              <w:pStyle w:val="6"/>
              <w:widowControl/>
              <w:spacing w:line="240" w:lineRule="exact"/>
              <w:jc w:val="center"/>
              <w:rPr>
                <w:color w:val="000000"/>
                <w:szCs w:val="21"/>
              </w:rPr>
            </w:pPr>
          </w:p>
        </w:tc>
      </w:tr>
      <w:bookmarkEnd w:id="1"/>
    </w:tbl>
    <w:p>
      <w:pPr>
        <w:pStyle w:val="6"/>
        <w:spacing w:line="600" w:lineRule="exact"/>
        <w:rPr>
          <w:rFonts w:eastAsia="黑体"/>
          <w:sz w:val="32"/>
          <w:szCs w:val="32"/>
        </w:rPr>
      </w:pPr>
    </w:p>
    <w:p>
      <w:pPr>
        <w:pStyle w:val="6"/>
        <w:spacing w:line="600" w:lineRule="exact"/>
        <w:rPr>
          <w:rFonts w:eastAsia="黑体"/>
          <w:sz w:val="32"/>
          <w:szCs w:val="32"/>
        </w:rPr>
      </w:pPr>
    </w:p>
    <w:p>
      <w:pPr>
        <w:pStyle w:val="6"/>
        <w:spacing w:line="600" w:lineRule="exact"/>
        <w:rPr>
          <w:rFonts w:eastAsia="黑体"/>
          <w:sz w:val="32"/>
          <w:szCs w:val="32"/>
        </w:rPr>
      </w:pPr>
    </w:p>
    <w:p>
      <w:pPr>
        <w:pStyle w:val="6"/>
        <w:spacing w:line="20" w:lineRule="exact"/>
        <w:rPr>
          <w:rFonts w:eastAsia="楷体_GB2312"/>
          <w:sz w:val="32"/>
          <w:szCs w:val="32"/>
        </w:rPr>
        <w:sectPr>
          <w:headerReference r:id="rId5" w:type="default"/>
          <w:footerReference r:id="rId6" w:type="default"/>
          <w:pgSz w:w="11906" w:h="16838"/>
          <w:pgMar w:top="1701" w:right="1587" w:bottom="1701" w:left="1587" w:header="0" w:footer="1417" w:gutter="0"/>
          <w:cols w:space="720" w:num="1"/>
          <w:docGrid w:type="lines" w:linePitch="312" w:charSpace="0"/>
        </w:sect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rPr>
        <w:rStyle w:val="19"/>
      </w:rPr>
      <w:fldChar w:fldCharType="begin"/>
    </w:r>
    <w:r>
      <w:rPr>
        <w:rStyle w:val="19"/>
      </w:rPr>
      <w:instrText xml:space="preserve"> 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4"/>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rPr>
                            <w:t>73</w:t>
                          </w:r>
                          <w:r>
                            <w:rPr>
                              <w:rFonts w:hint="eastAsia" w:ascii="宋体" w:hAnsi="宋体" w:cs="宋体"/>
                              <w:sz w:val="24"/>
                              <w:szCs w:val="24"/>
                            </w:rPr>
                            <w:fldChar w:fldCharType="end"/>
                          </w:r>
                          <w:r>
                            <w:rPr>
                              <w:rFonts w:hint="eastAsia" w:ascii="宋体" w:hAnsi="宋体" w:cs="宋体"/>
                              <w:sz w:val="24"/>
                              <w:szCs w:val="24"/>
                            </w:rPr>
                            <w:t xml:space="preserve"> —</w:t>
                          </w:r>
                        </w:p>
                      </w:txbxContent>
                    </wps:txbx>
                    <wps:bodyPr wrap="none" lIns="0" tIns="0" rIns="0" bIns="0" upright="true">
                      <a:spAutoFit/>
                    </wps:bodyPr>
                  </wps:wsp>
                </a:graphicData>
              </a:graphic>
            </wp:anchor>
          </w:drawing>
        </mc:Choice>
        <mc:Fallback>
          <w:pict>
            <v:shape id="文本框 2049"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Hq2tXS1AQAAVAMAAA4AAAAAAAAAAQAgAAAANAEAAGRycy9lMm9E&#10;b2MueG1sUEsFBgAAAAAGAAYAWQEAAFsFAAAAAA==&#10;">
              <v:fill on="f" focussize="0,0"/>
              <v:stroke on="f"/>
              <v:imagedata o:title=""/>
              <o:lock v:ext="edit" aspectratio="f"/>
              <v:textbox inset="0mm,0mm,0mm,0mm" style="mso-fit-shape-to-text:t;">
                <w:txbxContent>
                  <w:p>
                    <w:pPr>
                      <w:pStyle w:val="24"/>
                      <w:rPr>
                        <w:rFonts w:hint="eastAsia"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rPr>
                      <w:t>73</w:t>
                    </w:r>
                    <w:r>
                      <w:rPr>
                        <w:rFonts w:hint="eastAsia" w:ascii="宋体" w:hAnsi="宋体" w:cs="宋体"/>
                        <w:sz w:val="24"/>
                        <w:szCs w:val="24"/>
                      </w:rPr>
                      <w:fldChar w:fldCharType="end"/>
                    </w:r>
                    <w:r>
                      <w:rPr>
                        <w:rFonts w:hint="eastAsia" w:ascii="宋体" w:hAnsi="宋体" w:cs="宋体"/>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02585"/>
    <w:multiLevelType w:val="singleLevel"/>
    <w:tmpl w:val="C8E02585"/>
    <w:lvl w:ilvl="0" w:tentative="0">
      <w:start w:val="11"/>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000002"/>
    <w:multiLevelType w:val="singleLevel"/>
    <w:tmpl w:val="00000002"/>
    <w:lvl w:ilvl="0" w:tentative="0">
      <w:start w:val="2"/>
      <w:numFmt w:val="decimal"/>
      <w:suff w:val="nothing"/>
      <w:lvlText w:val="（%1）"/>
      <w:lvlJc w:val="left"/>
    </w:lvl>
  </w:abstractNum>
  <w:abstractNum w:abstractNumId="3">
    <w:nsid w:val="00000003"/>
    <w:multiLevelType w:val="singleLevel"/>
    <w:tmpl w:val="00000003"/>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true"/>
  <w:bordersDoNotSurroundFooter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ZjQ0MTQ2ZGU1OTdkNTc0NWIwODc4M2Q1YzlhYzIifQ=="/>
  </w:docVars>
  <w:rsids>
    <w:rsidRoot w:val="00F05C89"/>
    <w:rsid w:val="005079FD"/>
    <w:rsid w:val="00F05C89"/>
    <w:rsid w:val="01021E89"/>
    <w:rsid w:val="01DF72DE"/>
    <w:rsid w:val="03064F79"/>
    <w:rsid w:val="0A0930B8"/>
    <w:rsid w:val="0FEE7C5E"/>
    <w:rsid w:val="10645539"/>
    <w:rsid w:val="11486BC7"/>
    <w:rsid w:val="15FE75D4"/>
    <w:rsid w:val="1C367AAF"/>
    <w:rsid w:val="1EF44660"/>
    <w:rsid w:val="1F4E5B55"/>
    <w:rsid w:val="27E4079F"/>
    <w:rsid w:val="2882714E"/>
    <w:rsid w:val="2D566D28"/>
    <w:rsid w:val="2FEF6776"/>
    <w:rsid w:val="327A4D69"/>
    <w:rsid w:val="331F653D"/>
    <w:rsid w:val="349400D7"/>
    <w:rsid w:val="36E763F9"/>
    <w:rsid w:val="38086E6D"/>
    <w:rsid w:val="3A725DEC"/>
    <w:rsid w:val="3EB41170"/>
    <w:rsid w:val="4007292E"/>
    <w:rsid w:val="45B61DB8"/>
    <w:rsid w:val="47AD2D46"/>
    <w:rsid w:val="4A7D10F6"/>
    <w:rsid w:val="4E315068"/>
    <w:rsid w:val="5A350640"/>
    <w:rsid w:val="5A4312E0"/>
    <w:rsid w:val="5ED45DD7"/>
    <w:rsid w:val="5FD24395"/>
    <w:rsid w:val="64923598"/>
    <w:rsid w:val="723D67D3"/>
    <w:rsid w:val="778154D2"/>
    <w:rsid w:val="780F5C58"/>
    <w:rsid w:val="7D9309C4"/>
    <w:rsid w:val="DBFF39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nhideWhenUsed="0" w:uiPriority="9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Arial"/>
      <w:kern w:val="2"/>
      <w:sz w:val="21"/>
      <w:szCs w:val="24"/>
      <w:lang w:val="en-US" w:eastAsia="zh-CN" w:bidi="ar-SA"/>
    </w:rPr>
  </w:style>
  <w:style w:type="paragraph" w:styleId="5">
    <w:name w:val="heading 1"/>
    <w:basedOn w:val="6"/>
    <w:next w:val="1"/>
    <w:qFormat/>
    <w:uiPriority w:val="7"/>
    <w:pPr>
      <w:widowControl/>
      <w:jc w:val="both"/>
      <w:outlineLvl w:val="0"/>
    </w:pPr>
    <w:rPr>
      <w:rFonts w:eastAsia="Times New Roman"/>
      <w:sz w:val="28"/>
      <w:szCs w:val="28"/>
      <w:lang w:val="en-US" w:eastAsia="zh-CN"/>
    </w:rPr>
  </w:style>
  <w:style w:type="paragraph" w:styleId="7">
    <w:name w:val="heading 2"/>
    <w:basedOn w:val="1"/>
    <w:next w:val="1"/>
    <w:qFormat/>
    <w:uiPriority w:val="0"/>
    <w:pPr>
      <w:keepNext/>
      <w:keepLines/>
      <w:spacing w:before="260" w:after="260" w:line="413" w:lineRule="auto"/>
      <w:jc w:val="both"/>
      <w:outlineLvl w:val="1"/>
    </w:pPr>
    <w:rPr>
      <w:rFonts w:ascii="Arial" w:hAnsi="Arial" w:eastAsia="黑体"/>
      <w:b/>
      <w:sz w:val="32"/>
    </w:rPr>
  </w:style>
  <w:style w:type="character" w:default="1" w:styleId="18">
    <w:name w:val="Default Paragraph Font"/>
    <w:unhideWhenUsed/>
    <w:uiPriority w:val="1"/>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footnote text"/>
    <w:basedOn w:val="1"/>
    <w:next w:val="3"/>
    <w:semiHidden/>
    <w:uiPriority w:val="0"/>
    <w:pPr>
      <w:snapToGrid w:val="0"/>
      <w:jc w:val="left"/>
    </w:pPr>
    <w:rPr>
      <w:sz w:val="18"/>
      <w:szCs w:val="18"/>
    </w:rPr>
  </w:style>
  <w:style w:type="paragraph" w:styleId="3">
    <w:name w:val="Body Text First Indent 2"/>
    <w:basedOn w:val="4"/>
    <w:next w:val="1"/>
    <w:unhideWhenUsed/>
    <w:uiPriority w:val="99"/>
    <w:pPr>
      <w:ind w:firstLine="420" w:firstLineChars="200"/>
      <w:jc w:val="left"/>
    </w:pPr>
  </w:style>
  <w:style w:type="paragraph" w:styleId="4">
    <w:name w:val="Body Text Indent"/>
    <w:basedOn w:val="1"/>
    <w:next w:val="3"/>
    <w:unhideWhenUsed/>
    <w:uiPriority w:val="99"/>
    <w:pPr>
      <w:widowControl/>
      <w:spacing w:after="120"/>
      <w:ind w:left="420" w:leftChars="200"/>
      <w:jc w:val="left"/>
    </w:pPr>
    <w:rPr>
      <w:rFonts w:ascii="宋体" w:hAnsi="宋体" w:eastAsia="宋体" w:cs="宋体"/>
      <w:kern w:val="0"/>
      <w:sz w:val="24"/>
    </w:rPr>
  </w:style>
  <w:style w:type="paragraph" w:customStyle="1" w:styleId="6">
    <w:name w:val="Normal_42c7b985-0a7b-4b04-b054-038ef2d18aad"/>
    <w:uiPriority w:val="0"/>
    <w:pPr>
      <w:widowControl w:val="0"/>
      <w:jc w:val="both"/>
    </w:pPr>
    <w:rPr>
      <w:kern w:val="2"/>
      <w:sz w:val="21"/>
      <w:szCs w:val="24"/>
      <w:lang w:val="en-US" w:eastAsia="zh-CN" w:bidi="ar-SA"/>
    </w:rPr>
  </w:style>
  <w:style w:type="paragraph" w:styleId="8">
    <w:name w:val="Body Text"/>
    <w:basedOn w:val="1"/>
    <w:uiPriority w:val="1"/>
    <w:pPr>
      <w:autoSpaceDE w:val="0"/>
      <w:autoSpaceDN w:val="0"/>
      <w:jc w:val="left"/>
    </w:pPr>
    <w:rPr>
      <w:rFonts w:ascii="Times New Roman" w:hAnsi="Times New Roman" w:eastAsia="Times New Roman" w:cs="Times New Roman"/>
      <w:kern w:val="0"/>
      <w:sz w:val="20"/>
      <w:szCs w:val="20"/>
      <w:lang w:eastAsia="en-US"/>
    </w:rPr>
  </w:style>
  <w:style w:type="paragraph" w:styleId="9">
    <w:name w:val="toc 5"/>
    <w:basedOn w:val="6"/>
    <w:next w:val="1"/>
    <w:semiHidden/>
    <w:uiPriority w:val="99"/>
    <w:pPr>
      <w:ind w:left="1680" w:leftChars="800"/>
      <w:jc w:val="both"/>
    </w:pPr>
    <w:rPr>
      <w:lang w:val="en-US" w:eastAsia="zh-CN"/>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nhideWhenUsed/>
    <w:uiPriority w:val="99"/>
    <w:pPr>
      <w:pBdr>
        <w:bottom w:val="single" w:color="000000" w:sz="6" w:space="1"/>
      </w:pBdr>
      <w:tabs>
        <w:tab w:val="center" w:pos="4153"/>
        <w:tab w:val="right" w:pos="8306"/>
      </w:tabs>
      <w:snapToGrid w:val="0"/>
      <w:jc w:val="center"/>
    </w:pPr>
    <w:rPr>
      <w:sz w:val="18"/>
      <w:szCs w:val="18"/>
    </w:rPr>
  </w:style>
  <w:style w:type="paragraph" w:styleId="1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rPr>
  </w:style>
  <w:style w:type="paragraph" w:styleId="13">
    <w:name w:val="Normal (Web)"/>
    <w:basedOn w:val="6"/>
    <w:uiPriority w:val="0"/>
    <w:pPr>
      <w:widowControl/>
      <w:spacing w:before="100" w:beforeAutospacing="1" w:after="100" w:afterAutospacing="1"/>
      <w:jc w:val="left"/>
    </w:pPr>
    <w:rPr>
      <w:rFonts w:ascii="宋体" w:hAnsi="宋体" w:cs="宋体"/>
      <w:kern w:val="0"/>
      <w:sz w:val="24"/>
      <w:lang w:val="en-US" w:eastAsia="zh-CN"/>
    </w:rPr>
  </w:style>
  <w:style w:type="paragraph" w:styleId="14">
    <w:name w:val="Body Text First Indent"/>
    <w:basedOn w:val="15"/>
    <w:uiPriority w:val="0"/>
    <w:pPr>
      <w:ind w:firstLine="420" w:firstLineChars="100"/>
      <w:jc w:val="both"/>
    </w:pPr>
    <w:rPr>
      <w:lang w:val="en-US" w:eastAsia="zh-CN"/>
    </w:rPr>
  </w:style>
  <w:style w:type="paragraph" w:customStyle="1" w:styleId="15">
    <w:name w:val="正文文本1"/>
    <w:basedOn w:val="6"/>
    <w:next w:val="1"/>
    <w:uiPriority w:val="99"/>
    <w:pPr>
      <w:spacing w:line="560" w:lineRule="exact"/>
      <w:ind w:firstLine="400" w:firstLineChars="200"/>
      <w:jc w:val="both"/>
    </w:pPr>
    <w:rPr>
      <w:rFonts w:ascii="宋体" w:hAnsi="宋体" w:eastAsia="仿宋" w:cs="宋体"/>
      <w:sz w:val="28"/>
      <w:lang w:val="en-US" w:eastAsia="zh-CN"/>
    </w:rPr>
  </w:style>
  <w:style w:type="table" w:styleId="17">
    <w:name w:val="Table Grid"/>
    <w:uiPriority w:val="0"/>
    <w:tblPr>
      <w:tblStyle w:val="16"/>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9">
    <w:name w:val="page number"/>
    <w:basedOn w:val="18"/>
    <w:uiPriority w:val="0"/>
  </w:style>
  <w:style w:type="paragraph" w:customStyle="1" w:styleId="20">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paragraph" w:styleId="21">
    <w:name w:val="List Paragraph"/>
    <w:basedOn w:val="1"/>
    <w:qFormat/>
    <w:uiPriority w:val="34"/>
    <w:pPr>
      <w:ind w:firstLine="420" w:firstLineChars="200"/>
      <w:jc w:val="both"/>
    </w:pPr>
  </w:style>
  <w:style w:type="paragraph" w:customStyle="1" w:styleId="22">
    <w:name w:val="List Paragraph_d2ca6359-2add-42e0-8d32-41359d0b2791"/>
    <w:basedOn w:val="6"/>
    <w:next w:val="21"/>
    <w:uiPriority w:val="99"/>
    <w:pPr>
      <w:ind w:firstLine="420" w:firstLineChars="200"/>
      <w:jc w:val="both"/>
    </w:pPr>
    <w:rPr>
      <w:rFonts w:ascii="Calibri" w:hAnsi="Calibri" w:eastAsia="宋体" w:cs="Times New Roman"/>
      <w:szCs w:val="22"/>
      <w:lang w:val="en-US" w:eastAsia="zh-CN"/>
    </w:rPr>
  </w:style>
  <w:style w:type="table" w:customStyle="1" w:styleId="23">
    <w:name w:val="普通表格1"/>
    <w:semiHidden/>
    <w:uiPriority w:val="0"/>
    <w:rPr>
      <w:lang w:val="en-US" w:eastAsia="zh-CN" w:bidi="ar-SA"/>
    </w:rPr>
    <w:tblPr>
      <w:tblStyle w:val="16"/>
      <w:tblCellMar>
        <w:top w:w="0" w:type="dxa"/>
        <w:left w:w="108" w:type="dxa"/>
        <w:bottom w:w="0" w:type="dxa"/>
        <w:right w:w="108" w:type="dxa"/>
      </w:tblCellMar>
    </w:tblPr>
  </w:style>
  <w:style w:type="paragraph" w:customStyle="1" w:styleId="24">
    <w:name w:val="页脚1"/>
    <w:basedOn w:val="6"/>
    <w:next w:val="1"/>
    <w:uiPriority w:val="99"/>
    <w:pPr>
      <w:tabs>
        <w:tab w:val="center" w:pos="4153"/>
        <w:tab w:val="right" w:pos="8306"/>
      </w:tabs>
      <w:snapToGrid w:val="0"/>
      <w:jc w:val="left"/>
    </w:pPr>
    <w:rPr>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29529</Words>
  <Characters>33698</Characters>
  <Lines>265</Lines>
  <Paragraphs>74</Paragraphs>
  <TotalTime>5</TotalTime>
  <ScaleCrop>false</ScaleCrop>
  <LinksUpToDate>false</LinksUpToDate>
  <CharactersWithSpaces>34259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2024-09-23T10:10:00Z</dcterms:created>
  <dc:creator>李海英</dc:creator>
  <cp:lastModifiedBy>李老师</cp:lastModifiedBy>
  <cp:lastPrinted>2024-09-25T09:58:02Z</cp:lastPrinted>
  <dcterms:modified xsi:type="dcterms:W3CDTF">2024-09-27T10:32:51Z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25FECB49B0EA4372B34DF5BEAC6CEC3A</vt:lpwstr>
  </property>
</Properties>
</file>