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28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48"/>
        <w:gridCol w:w="1340"/>
        <w:gridCol w:w="62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7" w:type="dxa"/>
            <w:noWrap w:val="0"/>
            <w:vAlign w:val="center"/>
          </w:tcPr>
          <w:p>
            <w:pPr>
              <w:spacing w:line="320" w:lineRule="exact"/>
              <w:ind w:left="420" w:leftChars="50" w:hanging="315" w:hangingChars="150"/>
              <w:jc w:val="center"/>
              <w:rPr>
                <w:rFonts w:ascii="宋体" w:hAnsi="宋体"/>
                <w:kern w:val="0"/>
                <w:sz w:val="21"/>
                <w:szCs w:val="21"/>
                <w:highlight w:val="none"/>
              </w:rPr>
            </w:pPr>
            <w:r>
              <w:rPr>
                <w:rFonts w:hint="eastAsia" w:ascii="宋体" w:hAnsi="宋体"/>
                <w:kern w:val="0"/>
                <w:sz w:val="21"/>
                <w:szCs w:val="21"/>
                <w:highlight w:val="none"/>
              </w:rPr>
              <w:t>序</w:t>
            </w:r>
          </w:p>
        </w:tc>
        <w:tc>
          <w:tcPr>
            <w:tcW w:w="1248" w:type="dxa"/>
            <w:noWrap w:val="0"/>
            <w:vAlign w:val="center"/>
          </w:tcPr>
          <w:p>
            <w:pPr>
              <w:spacing w:line="320" w:lineRule="exact"/>
              <w:ind w:left="420" w:leftChars="50" w:hanging="315" w:hangingChars="150"/>
              <w:jc w:val="center"/>
              <w:rPr>
                <w:rFonts w:ascii="宋体" w:hAnsi="宋体"/>
                <w:kern w:val="0"/>
                <w:sz w:val="21"/>
                <w:szCs w:val="21"/>
                <w:highlight w:val="none"/>
              </w:rPr>
            </w:pPr>
            <w:r>
              <w:rPr>
                <w:rFonts w:hint="eastAsia" w:ascii="宋体" w:hAnsi="宋体"/>
                <w:kern w:val="0"/>
                <w:sz w:val="21"/>
                <w:szCs w:val="21"/>
                <w:highlight w:val="none"/>
              </w:rPr>
              <w:t>评审因素</w:t>
            </w:r>
          </w:p>
        </w:tc>
        <w:tc>
          <w:tcPr>
            <w:tcW w:w="1340" w:type="dxa"/>
            <w:noWrap w:val="0"/>
            <w:vAlign w:val="center"/>
          </w:tcPr>
          <w:p>
            <w:pPr>
              <w:spacing w:line="320" w:lineRule="exact"/>
              <w:ind w:left="420" w:leftChars="50" w:hanging="315" w:hangingChars="150"/>
              <w:jc w:val="center"/>
              <w:rPr>
                <w:rFonts w:ascii="宋体" w:hAnsi="宋体"/>
                <w:kern w:val="0"/>
                <w:sz w:val="21"/>
                <w:szCs w:val="21"/>
                <w:highlight w:val="none"/>
              </w:rPr>
            </w:pPr>
            <w:r>
              <w:rPr>
                <w:rFonts w:hint="eastAsia" w:ascii="宋体" w:hAnsi="宋体"/>
                <w:kern w:val="0"/>
                <w:sz w:val="21"/>
                <w:szCs w:val="21"/>
                <w:highlight w:val="none"/>
              </w:rPr>
              <w:t>权重</w:t>
            </w:r>
          </w:p>
        </w:tc>
        <w:tc>
          <w:tcPr>
            <w:tcW w:w="6201" w:type="dxa"/>
            <w:noWrap w:val="0"/>
            <w:vAlign w:val="center"/>
          </w:tcPr>
          <w:p>
            <w:pPr>
              <w:spacing w:line="320" w:lineRule="exact"/>
              <w:ind w:left="420" w:leftChars="50" w:hanging="315" w:hangingChars="150"/>
              <w:jc w:val="center"/>
              <w:rPr>
                <w:rFonts w:ascii="宋体" w:hAnsi="宋体"/>
                <w:kern w:val="0"/>
                <w:sz w:val="21"/>
                <w:szCs w:val="21"/>
                <w:highlight w:val="none"/>
              </w:rPr>
            </w:pPr>
            <w:r>
              <w:rPr>
                <w:rFonts w:hint="eastAsia" w:ascii="宋体" w:hAnsi="宋体"/>
                <w:kern w:val="0"/>
                <w:sz w:val="21"/>
                <w:szCs w:val="21"/>
                <w:highlight w:val="none"/>
              </w:rPr>
              <w:t>评分标准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7" w:type="dxa"/>
            <w:noWrap w:val="0"/>
            <w:vAlign w:val="center"/>
          </w:tcPr>
          <w:p>
            <w:pPr>
              <w:spacing w:line="360" w:lineRule="auto"/>
              <w:ind w:left="420" w:leftChars="50" w:hanging="315" w:hangingChars="150"/>
              <w:rPr>
                <w:rFonts w:ascii="宋体" w:hAnsi="宋体"/>
                <w:kern w:val="0"/>
                <w:sz w:val="21"/>
                <w:szCs w:val="21"/>
                <w:highlight w:val="none"/>
              </w:rPr>
            </w:pPr>
            <w:bookmarkStart w:id="0" w:name="_Hlk227518417"/>
            <w:r>
              <w:rPr>
                <w:rFonts w:hint="eastAsia" w:ascii="宋体" w:hAnsi="宋体"/>
                <w:kern w:val="0"/>
                <w:sz w:val="21"/>
                <w:szCs w:val="21"/>
                <w:highlight w:val="none"/>
              </w:rPr>
              <w:t>1</w:t>
            </w:r>
          </w:p>
        </w:tc>
        <w:tc>
          <w:tcPr>
            <w:tcW w:w="1248" w:type="dxa"/>
            <w:noWrap w:val="0"/>
            <w:vAlign w:val="center"/>
          </w:tcPr>
          <w:p>
            <w:pPr>
              <w:spacing w:line="360" w:lineRule="auto"/>
              <w:ind w:left="420" w:leftChars="50" w:hanging="315" w:hangingChars="150"/>
              <w:rPr>
                <w:rFonts w:ascii="宋体" w:hAnsi="宋体"/>
                <w:color w:val="auto"/>
                <w:kern w:val="0"/>
                <w:sz w:val="21"/>
                <w:szCs w:val="21"/>
                <w:highlight w:val="none"/>
              </w:rPr>
            </w:pPr>
            <w:r>
              <w:rPr>
                <w:rFonts w:hint="eastAsia" w:ascii="宋体" w:hAnsi="宋体"/>
                <w:color w:val="auto"/>
                <w:kern w:val="0"/>
                <w:sz w:val="21"/>
                <w:szCs w:val="21"/>
                <w:highlight w:val="none"/>
              </w:rPr>
              <w:t>投标报价</w:t>
            </w:r>
          </w:p>
          <w:p>
            <w:pPr>
              <w:spacing w:line="360" w:lineRule="auto"/>
              <w:ind w:left="420" w:leftChars="50" w:hanging="315" w:hangingChars="150"/>
              <w:rPr>
                <w:rFonts w:ascii="宋体" w:hAnsi="宋体"/>
                <w:color w:val="auto"/>
                <w:kern w:val="0"/>
                <w:sz w:val="21"/>
                <w:szCs w:val="21"/>
                <w:highlight w:val="none"/>
              </w:rPr>
            </w:pPr>
            <w:r>
              <w:rPr>
                <w:rFonts w:hint="eastAsia" w:ascii="宋体" w:hAnsi="宋体"/>
                <w:color w:val="auto"/>
                <w:kern w:val="0"/>
                <w:sz w:val="21"/>
                <w:szCs w:val="21"/>
                <w:highlight w:val="none"/>
              </w:rPr>
              <w:t>（10分）</w:t>
            </w:r>
          </w:p>
        </w:tc>
        <w:tc>
          <w:tcPr>
            <w:tcW w:w="1340" w:type="dxa"/>
            <w:noWrap w:val="0"/>
            <w:vAlign w:val="center"/>
          </w:tcPr>
          <w:p>
            <w:pPr>
              <w:ind w:left="420" w:leftChars="50" w:hanging="315" w:hangingChars="150"/>
              <w:jc w:val="center"/>
              <w:rPr>
                <w:rFonts w:ascii="宋体" w:hAnsi="宋体"/>
                <w:color w:val="auto"/>
                <w:kern w:val="0"/>
                <w:sz w:val="21"/>
                <w:szCs w:val="21"/>
                <w:highlight w:val="none"/>
              </w:rPr>
            </w:pPr>
            <w:r>
              <w:rPr>
                <w:rFonts w:hint="eastAsia" w:ascii="宋体" w:hAnsi="宋体"/>
                <w:color w:val="auto"/>
                <w:kern w:val="0"/>
                <w:sz w:val="21"/>
                <w:szCs w:val="21"/>
                <w:highlight w:val="none"/>
              </w:rPr>
              <w:t>10分</w:t>
            </w:r>
          </w:p>
        </w:tc>
        <w:tc>
          <w:tcPr>
            <w:tcW w:w="6201" w:type="dxa"/>
            <w:noWrap w:val="0"/>
            <w:vAlign w:val="center"/>
          </w:tcPr>
          <w:p>
            <w:pPr>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1、以经磋商小组一致认定满足磋商文件要求经调整后的最后报价最低的供应商的价格为磋商基准价，其价格得分计满分。其他供应商的价格分统一按公式计算：</w:t>
            </w:r>
          </w:p>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磋商报价得分=(磋商基准价/最后磋商报价)×10</w:t>
            </w:r>
          </w:p>
          <w:p>
            <w:pPr>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2、供应商符合《政府采购促进中小企业发展暂行办法》规定的，用扣除后的价格参与评审。</w:t>
            </w:r>
          </w:p>
          <w:p>
            <w:pPr>
              <w:adjustRightInd w:val="0"/>
              <w:snapToGrid w:val="0"/>
              <w:rPr>
                <w:rFonts w:ascii="宋体" w:hAnsi="宋体"/>
                <w:color w:val="auto"/>
                <w:kern w:val="0"/>
                <w:sz w:val="21"/>
                <w:szCs w:val="21"/>
                <w:highlight w:val="none"/>
              </w:rPr>
            </w:pPr>
            <w:r>
              <w:rPr>
                <w:rFonts w:hint="eastAsia" w:ascii="宋体" w:hAnsi="宋体" w:cs="宋体"/>
                <w:color w:val="auto"/>
                <w:kern w:val="0"/>
                <w:sz w:val="21"/>
                <w:szCs w:val="21"/>
                <w:highlight w:val="none"/>
              </w:rPr>
              <w:t>3、价格评审过程中，不得去掉最后报价中的最高报价和最低报价。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97" w:type="dxa"/>
            <w:vMerge w:val="restart"/>
            <w:noWrap w:val="0"/>
            <w:vAlign w:val="center"/>
          </w:tcPr>
          <w:p>
            <w:pPr>
              <w:spacing w:line="360" w:lineRule="auto"/>
              <w:ind w:left="420" w:leftChars="50" w:hanging="315" w:hangingChars="150"/>
              <w:rPr>
                <w:rFonts w:hint="eastAsia" w:ascii="宋体" w:hAnsi="宋体"/>
                <w:kern w:val="0"/>
                <w:sz w:val="21"/>
                <w:szCs w:val="21"/>
                <w:highlight w:val="none"/>
              </w:rPr>
            </w:pPr>
            <w:r>
              <w:rPr>
                <w:rFonts w:hint="eastAsia" w:ascii="宋体" w:hAnsi="宋体"/>
                <w:kern w:val="0"/>
                <w:sz w:val="21"/>
                <w:szCs w:val="21"/>
                <w:highlight w:val="none"/>
              </w:rPr>
              <w:t>2</w:t>
            </w:r>
          </w:p>
        </w:tc>
        <w:tc>
          <w:tcPr>
            <w:tcW w:w="1248" w:type="dxa"/>
            <w:vMerge w:val="restart"/>
            <w:noWrap w:val="0"/>
            <w:vAlign w:val="center"/>
          </w:tcPr>
          <w:p>
            <w:pPr>
              <w:spacing w:line="360" w:lineRule="auto"/>
              <w:ind w:left="420" w:leftChars="50" w:hanging="315" w:hangingChars="150"/>
              <w:rPr>
                <w:rFonts w:hint="eastAsia"/>
                <w:color w:val="auto"/>
                <w:sz w:val="21"/>
                <w:szCs w:val="21"/>
                <w:highlight w:val="none"/>
              </w:rPr>
            </w:pPr>
            <w:r>
              <w:rPr>
                <w:rFonts w:hint="eastAsia"/>
                <w:color w:val="auto"/>
                <w:sz w:val="21"/>
                <w:szCs w:val="21"/>
                <w:highlight w:val="none"/>
              </w:rPr>
              <w:t>技术部分</w:t>
            </w:r>
          </w:p>
          <w:p>
            <w:pPr>
              <w:pStyle w:val="8"/>
              <w:ind w:left="0" w:leftChars="0" w:firstLine="0" w:firstLineChars="0"/>
              <w:rPr>
                <w:color w:val="auto"/>
                <w:sz w:val="21"/>
                <w:szCs w:val="21"/>
                <w:highlight w:val="none"/>
                <w:lang w:val="en-US" w:eastAsia="zh-CN"/>
              </w:rPr>
            </w:pPr>
            <w:r>
              <w:rPr>
                <w:rFonts w:hint="eastAsia"/>
                <w:color w:val="auto"/>
                <w:sz w:val="21"/>
                <w:szCs w:val="21"/>
                <w:highlight w:val="none"/>
                <w:lang w:val="en-US" w:eastAsia="zh-CN"/>
              </w:rPr>
              <w:t>（60分）</w:t>
            </w:r>
          </w:p>
        </w:tc>
        <w:tc>
          <w:tcPr>
            <w:tcW w:w="1340" w:type="dxa"/>
            <w:noWrap w:val="0"/>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总体服务方案（15分）</w:t>
            </w:r>
          </w:p>
          <w:p>
            <w:pPr>
              <w:adjustRightInd w:val="0"/>
              <w:snapToGrid w:val="0"/>
              <w:rPr>
                <w:rFonts w:hint="eastAsia" w:ascii="宋体" w:hAnsi="宋体" w:cs="宋体"/>
                <w:color w:val="auto"/>
                <w:kern w:val="0"/>
                <w:sz w:val="21"/>
                <w:szCs w:val="21"/>
                <w:highlight w:val="none"/>
              </w:rPr>
            </w:pPr>
          </w:p>
        </w:tc>
        <w:tc>
          <w:tcPr>
            <w:tcW w:w="6201" w:type="dxa"/>
            <w:noWrap w:val="0"/>
            <w:vAlign w:val="center"/>
          </w:tcPr>
          <w:p>
            <w:pPr>
              <w:adjustRightInd w:val="0"/>
              <w:snapToGrid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供应商结合行业规范要求、自身工作经验和队伍人员情况做出总体服务方案。方案内容包括以下部分：本项目开展方法、工作步骤、操纵流程及数据整改与确认、</w:t>
            </w:r>
            <w:r>
              <w:rPr>
                <w:rFonts w:hint="eastAsia" w:ascii="宋体" w:hAnsi="Times New Roman"/>
                <w:b/>
                <w:bCs/>
                <w:color w:val="auto"/>
                <w:sz w:val="21"/>
                <w:szCs w:val="21"/>
                <w:highlight w:val="none"/>
              </w:rPr>
              <w:t>预设</w:t>
            </w:r>
            <w:r>
              <w:rPr>
                <w:rFonts w:hint="eastAsia" w:ascii="宋体" w:hAnsi="Times New Roman"/>
                <w:b/>
                <w:bCs/>
                <w:color w:val="auto"/>
                <w:sz w:val="21"/>
                <w:szCs w:val="21"/>
                <w:highlight w:val="none"/>
                <w:lang w:val="en-US" w:eastAsia="zh-CN"/>
              </w:rPr>
              <w:t>清查</w:t>
            </w:r>
            <w:r>
              <w:rPr>
                <w:rFonts w:hint="eastAsia" w:ascii="宋体" w:hAnsi="Times New Roman"/>
                <w:b/>
                <w:bCs/>
                <w:color w:val="auto"/>
                <w:sz w:val="21"/>
                <w:szCs w:val="21"/>
                <w:highlight w:val="none"/>
              </w:rPr>
              <w:t>方案</w:t>
            </w:r>
            <w:r>
              <w:rPr>
                <w:rFonts w:hint="eastAsia" w:ascii="宋体" w:hAnsi="宋体" w:cs="宋体"/>
                <w:color w:val="auto"/>
                <w:kern w:val="0"/>
                <w:sz w:val="21"/>
                <w:szCs w:val="21"/>
                <w:highlight w:val="none"/>
              </w:rPr>
              <w:t>等</w:t>
            </w:r>
          </w:p>
          <w:p>
            <w:pPr>
              <w:adjustRightInd w:val="0"/>
              <w:snapToGrid w:val="0"/>
              <w:rPr>
                <w:rFonts w:hint="eastAsia" w:ascii="宋体"/>
                <w:b/>
                <w:color w:val="auto"/>
                <w:sz w:val="21"/>
                <w:szCs w:val="21"/>
                <w:highlight w:val="none"/>
              </w:rPr>
            </w:pPr>
            <w:r>
              <w:rPr>
                <w:rFonts w:hint="eastAsia" w:ascii="宋体" w:hAnsi="宋体" w:cs="宋体"/>
                <w:color w:val="auto"/>
                <w:kern w:val="0"/>
                <w:sz w:val="21"/>
                <w:szCs w:val="21"/>
                <w:highlight w:val="none"/>
              </w:rPr>
              <w:t>根据供应商提供的总体服务方案</w:t>
            </w:r>
            <w:r>
              <w:rPr>
                <w:rFonts w:hint="eastAsia" w:ascii="宋体" w:hAnsi="Times New Roman"/>
                <w:color w:val="auto"/>
                <w:sz w:val="21"/>
                <w:szCs w:val="21"/>
                <w:highlight w:val="none"/>
              </w:rPr>
              <w:t>进行综合评定、完整、科学</w:t>
            </w:r>
            <w:r>
              <w:rPr>
                <w:rFonts w:hint="eastAsia" w:ascii="宋体" w:hAnsi="宋体" w:cs="宋体"/>
                <w:color w:val="auto"/>
                <w:kern w:val="0"/>
                <w:sz w:val="21"/>
                <w:szCs w:val="21"/>
                <w:highlight w:val="none"/>
              </w:rPr>
              <w:t>的计</w:t>
            </w:r>
            <w:r>
              <w:rPr>
                <w:rFonts w:hint="eastAsia" w:ascii="宋体" w:hAnsi="宋体" w:cs="宋体"/>
                <w:color w:val="auto"/>
                <w:kern w:val="0"/>
                <w:sz w:val="21"/>
                <w:szCs w:val="21"/>
                <w:highlight w:val="none"/>
                <w:lang w:val="en-US" w:eastAsia="zh-CN"/>
              </w:rPr>
              <w:t>11-</w:t>
            </w:r>
            <w:r>
              <w:rPr>
                <w:rFonts w:hint="eastAsia" w:ascii="宋体" w:hAnsi="宋体" w:cs="宋体"/>
                <w:color w:val="auto"/>
                <w:kern w:val="0"/>
                <w:sz w:val="21"/>
                <w:szCs w:val="21"/>
                <w:highlight w:val="none"/>
              </w:rPr>
              <w:t>15分，</w:t>
            </w:r>
            <w:r>
              <w:rPr>
                <w:rFonts w:hint="eastAsia" w:ascii="宋体" w:hAnsi="Times New Roman"/>
                <w:color w:val="auto"/>
                <w:sz w:val="21"/>
                <w:szCs w:val="21"/>
                <w:highlight w:val="none"/>
              </w:rPr>
              <w:t>基本合理的计</w:t>
            </w:r>
            <w:r>
              <w:rPr>
                <w:rFonts w:hint="eastAsia" w:ascii="宋体" w:hAnsi="Times New Roman"/>
                <w:color w:val="auto"/>
                <w:sz w:val="21"/>
                <w:szCs w:val="21"/>
                <w:highlight w:val="none"/>
                <w:lang w:val="en-US" w:eastAsia="zh-CN"/>
              </w:rPr>
              <w:t>6-</w:t>
            </w:r>
            <w:r>
              <w:rPr>
                <w:rFonts w:hint="eastAsia" w:ascii="宋体" w:hAnsi="Times New Roman"/>
                <w:color w:val="auto"/>
                <w:sz w:val="21"/>
                <w:szCs w:val="21"/>
                <w:highlight w:val="none"/>
              </w:rPr>
              <w:t>10分，一般的计</w:t>
            </w:r>
            <w:r>
              <w:rPr>
                <w:rFonts w:hint="eastAsia" w:ascii="宋体" w:hAnsi="Times New Roman"/>
                <w:color w:val="auto"/>
                <w:sz w:val="21"/>
                <w:szCs w:val="21"/>
                <w:highlight w:val="none"/>
                <w:lang w:val="en-US" w:eastAsia="zh-CN"/>
              </w:rPr>
              <w:t>1-</w:t>
            </w:r>
            <w:r>
              <w:rPr>
                <w:rFonts w:hint="eastAsia" w:ascii="宋体" w:hAnsi="Times New Roman"/>
                <w:color w:val="auto"/>
                <w:sz w:val="21"/>
                <w:szCs w:val="21"/>
                <w:highlight w:val="none"/>
              </w:rPr>
              <w:t>5分</w:t>
            </w:r>
            <w:r>
              <w:rPr>
                <w:rFonts w:hint="eastAsia" w:ascii="宋体" w:hAnsi="Times New Roman"/>
                <w:color w:val="auto"/>
                <w:sz w:val="21"/>
                <w:szCs w:val="21"/>
                <w:highlight w:val="none"/>
                <w:lang w:eastAsia="zh-CN"/>
              </w:rPr>
              <w:t>，</w:t>
            </w:r>
            <w:r>
              <w:rPr>
                <w:rFonts w:hint="eastAsia" w:ascii="宋体" w:hAnsi="Times New Roman"/>
                <w:color w:val="auto"/>
                <w:sz w:val="21"/>
                <w:szCs w:val="21"/>
                <w:highlight w:val="none"/>
                <w:lang w:val="en-US" w:eastAsia="zh-CN"/>
              </w:rPr>
              <w:t>未提供不计分。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97" w:type="dxa"/>
            <w:vMerge w:val="continue"/>
            <w:noWrap w:val="0"/>
            <w:vAlign w:val="center"/>
          </w:tcPr>
          <w:p>
            <w:pPr>
              <w:spacing w:line="360" w:lineRule="auto"/>
              <w:ind w:left="420" w:leftChars="50" w:hanging="315" w:hangingChars="150"/>
              <w:rPr>
                <w:rFonts w:ascii="宋体" w:hAnsi="宋体"/>
                <w:kern w:val="0"/>
                <w:sz w:val="21"/>
                <w:szCs w:val="21"/>
                <w:highlight w:val="none"/>
              </w:rPr>
            </w:pPr>
          </w:p>
        </w:tc>
        <w:tc>
          <w:tcPr>
            <w:tcW w:w="1248" w:type="dxa"/>
            <w:vMerge w:val="continue"/>
            <w:noWrap w:val="0"/>
            <w:vAlign w:val="center"/>
          </w:tcPr>
          <w:p>
            <w:pPr>
              <w:spacing w:line="360" w:lineRule="auto"/>
              <w:ind w:left="420" w:leftChars="50" w:hanging="315" w:hangingChars="150"/>
              <w:rPr>
                <w:rFonts w:ascii="宋体" w:hAnsi="宋体"/>
                <w:color w:val="auto"/>
                <w:kern w:val="0"/>
                <w:sz w:val="21"/>
                <w:szCs w:val="21"/>
                <w:highlight w:val="none"/>
              </w:rPr>
            </w:pPr>
          </w:p>
        </w:tc>
        <w:tc>
          <w:tcPr>
            <w:tcW w:w="1340" w:type="dxa"/>
            <w:noWrap w:val="0"/>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资产盘点（10分）</w:t>
            </w:r>
          </w:p>
        </w:tc>
        <w:tc>
          <w:tcPr>
            <w:tcW w:w="6201" w:type="dxa"/>
            <w:noWrap w:val="0"/>
            <w:vAlign w:val="center"/>
          </w:tcPr>
          <w:p>
            <w:pPr>
              <w:adjustRightInd w:val="0"/>
              <w:snapToGrid w:val="0"/>
              <w:rPr>
                <w:rFonts w:hint="eastAsia" w:ascii="宋体" w:hAnsi="宋体" w:cs="宋体"/>
                <w:color w:val="auto"/>
                <w:kern w:val="0"/>
                <w:sz w:val="21"/>
                <w:szCs w:val="21"/>
                <w:highlight w:val="none"/>
              </w:rPr>
            </w:pPr>
            <w:r>
              <w:rPr>
                <w:rFonts w:hint="eastAsia" w:ascii="宋体" w:hAnsi="Times New Roman"/>
                <w:color w:val="auto"/>
                <w:sz w:val="21"/>
                <w:szCs w:val="21"/>
                <w:highlight w:val="none"/>
              </w:rPr>
              <w:t>根据供应商提供的</w:t>
            </w:r>
            <w:r>
              <w:rPr>
                <w:rFonts w:hint="eastAsia" w:ascii="宋体" w:hAnsi="宋体" w:cs="宋体"/>
                <w:color w:val="auto"/>
                <w:kern w:val="0"/>
                <w:sz w:val="21"/>
                <w:szCs w:val="21"/>
                <w:highlight w:val="none"/>
              </w:rPr>
              <w:t>对本项目的</w:t>
            </w:r>
            <w:r>
              <w:rPr>
                <w:rFonts w:hint="eastAsia" w:ascii="宋体" w:hAnsi="宋体" w:cs="宋体"/>
                <w:b/>
                <w:bCs/>
                <w:color w:val="auto"/>
                <w:kern w:val="0"/>
                <w:sz w:val="21"/>
                <w:szCs w:val="21"/>
                <w:highlight w:val="none"/>
              </w:rPr>
              <w:t>资产清查范围完成度及规范性</w:t>
            </w:r>
            <w:r>
              <w:rPr>
                <w:rFonts w:hint="eastAsia" w:ascii="宋体" w:hAnsi="宋体" w:cs="宋体"/>
                <w:color w:val="auto"/>
                <w:kern w:val="0"/>
                <w:sz w:val="21"/>
                <w:szCs w:val="21"/>
                <w:highlight w:val="none"/>
              </w:rPr>
              <w:t>深度可行、完整、科学的</w:t>
            </w:r>
            <w:r>
              <w:rPr>
                <w:rFonts w:hint="eastAsia" w:ascii="宋体" w:hAnsi="Times New Roman"/>
                <w:color w:val="auto"/>
                <w:sz w:val="21"/>
                <w:szCs w:val="21"/>
                <w:highlight w:val="none"/>
              </w:rPr>
              <w:t>进行综合评定、完整、科学的计</w:t>
            </w:r>
            <w:r>
              <w:rPr>
                <w:rFonts w:hint="eastAsia" w:ascii="宋体" w:hAnsi="Times New Roman"/>
                <w:color w:val="auto"/>
                <w:sz w:val="21"/>
                <w:szCs w:val="21"/>
                <w:highlight w:val="none"/>
                <w:lang w:val="en-US" w:eastAsia="zh-CN"/>
              </w:rPr>
              <w:t>7-</w:t>
            </w:r>
            <w:r>
              <w:rPr>
                <w:rFonts w:hint="eastAsia" w:ascii="宋体" w:hAnsi="Times New Roman"/>
                <w:color w:val="auto"/>
                <w:sz w:val="21"/>
                <w:szCs w:val="21"/>
                <w:highlight w:val="none"/>
              </w:rPr>
              <w:t>10分，基本合理的计</w:t>
            </w:r>
            <w:r>
              <w:rPr>
                <w:rFonts w:hint="eastAsia" w:ascii="宋体" w:hAnsi="Times New Roman"/>
                <w:color w:val="auto"/>
                <w:sz w:val="21"/>
                <w:szCs w:val="21"/>
                <w:highlight w:val="none"/>
                <w:lang w:val="en-US" w:eastAsia="zh-CN"/>
              </w:rPr>
              <w:t>3-</w:t>
            </w:r>
            <w:r>
              <w:rPr>
                <w:rFonts w:hint="eastAsia" w:ascii="宋体" w:hAnsi="Times New Roman"/>
                <w:color w:val="auto"/>
                <w:sz w:val="21"/>
                <w:szCs w:val="21"/>
                <w:highlight w:val="none"/>
              </w:rPr>
              <w:t>6分，一般的计</w:t>
            </w:r>
            <w:r>
              <w:rPr>
                <w:rFonts w:ascii="宋体" w:hAnsi="Times New Roman"/>
                <w:color w:val="auto"/>
                <w:sz w:val="21"/>
                <w:szCs w:val="21"/>
                <w:highlight w:val="none"/>
              </w:rPr>
              <w:t>2</w:t>
            </w:r>
            <w:r>
              <w:rPr>
                <w:rFonts w:hint="eastAsia" w:ascii="宋体" w:hAnsi="Times New Roman"/>
                <w:color w:val="auto"/>
                <w:sz w:val="21"/>
                <w:szCs w:val="21"/>
                <w:highlight w:val="none"/>
              </w:rPr>
              <w:t>分</w:t>
            </w:r>
            <w:r>
              <w:rPr>
                <w:rFonts w:hint="eastAsia" w:ascii="宋体" w:hAnsi="Times New Roman"/>
                <w:color w:val="auto"/>
                <w:sz w:val="21"/>
                <w:szCs w:val="21"/>
                <w:highlight w:val="none"/>
                <w:lang w:eastAsia="zh-CN"/>
              </w:rPr>
              <w:t>，</w:t>
            </w:r>
            <w:r>
              <w:rPr>
                <w:rFonts w:hint="eastAsia" w:ascii="宋体" w:hAnsi="Times New Roman"/>
                <w:color w:val="auto"/>
                <w:sz w:val="21"/>
                <w:szCs w:val="21"/>
                <w:highlight w:val="none"/>
                <w:lang w:val="en-US" w:eastAsia="zh-CN"/>
              </w:rPr>
              <w:t>未提供不计分。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97" w:type="dxa"/>
            <w:vMerge w:val="continue"/>
            <w:noWrap w:val="0"/>
            <w:vAlign w:val="center"/>
          </w:tcPr>
          <w:p>
            <w:pPr>
              <w:spacing w:line="360" w:lineRule="auto"/>
              <w:ind w:left="420" w:leftChars="50" w:hanging="315" w:hangingChars="150"/>
              <w:rPr>
                <w:rFonts w:ascii="宋体" w:hAnsi="宋体"/>
                <w:kern w:val="0"/>
                <w:sz w:val="21"/>
                <w:szCs w:val="21"/>
                <w:highlight w:val="none"/>
              </w:rPr>
            </w:pPr>
          </w:p>
        </w:tc>
        <w:tc>
          <w:tcPr>
            <w:tcW w:w="1248" w:type="dxa"/>
            <w:vMerge w:val="continue"/>
            <w:noWrap w:val="0"/>
            <w:vAlign w:val="center"/>
          </w:tcPr>
          <w:p>
            <w:pPr>
              <w:spacing w:line="360" w:lineRule="auto"/>
              <w:ind w:left="420" w:leftChars="50" w:hanging="315" w:hangingChars="150"/>
              <w:rPr>
                <w:rFonts w:ascii="宋体" w:hAnsi="宋体"/>
                <w:color w:val="auto"/>
                <w:kern w:val="0"/>
                <w:sz w:val="21"/>
                <w:szCs w:val="21"/>
                <w:highlight w:val="none"/>
              </w:rPr>
            </w:pPr>
          </w:p>
        </w:tc>
        <w:tc>
          <w:tcPr>
            <w:tcW w:w="1340" w:type="dxa"/>
            <w:noWrap w:val="0"/>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进度保证措施（</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tc>
        <w:tc>
          <w:tcPr>
            <w:tcW w:w="6201" w:type="dxa"/>
            <w:noWrap w:val="0"/>
            <w:vAlign w:val="center"/>
          </w:tcPr>
          <w:p>
            <w:pPr>
              <w:spacing w:line="300" w:lineRule="exact"/>
              <w:jc w:val="left"/>
              <w:rPr>
                <w:rFonts w:hint="eastAsia"/>
                <w:color w:val="auto"/>
                <w:sz w:val="21"/>
                <w:szCs w:val="21"/>
                <w:highlight w:val="none"/>
              </w:rPr>
            </w:pPr>
            <w:r>
              <w:rPr>
                <w:rFonts w:hint="eastAsia"/>
                <w:color w:val="auto"/>
                <w:sz w:val="21"/>
                <w:szCs w:val="21"/>
                <w:highlight w:val="none"/>
              </w:rPr>
              <w:t>根据供应商提供的</w:t>
            </w:r>
            <w:r>
              <w:rPr>
                <w:rFonts w:hint="eastAsia"/>
                <w:b/>
                <w:bCs/>
                <w:color w:val="auto"/>
                <w:sz w:val="21"/>
                <w:szCs w:val="21"/>
                <w:highlight w:val="none"/>
              </w:rPr>
              <w:t>进度计划及保证措施</w:t>
            </w:r>
            <w:r>
              <w:rPr>
                <w:rFonts w:hint="eastAsia"/>
                <w:color w:val="auto"/>
                <w:sz w:val="21"/>
                <w:szCs w:val="21"/>
                <w:highlight w:val="none"/>
              </w:rPr>
              <w:t>进行综合评定、完整、科学的</w:t>
            </w:r>
            <w:r>
              <w:rPr>
                <w:rFonts w:hint="eastAsia" w:ascii="宋体" w:hAnsi="Times New Roman" w:eastAsia="宋体" w:cs="Times New Roman"/>
                <w:color w:val="auto"/>
                <w:sz w:val="21"/>
                <w:szCs w:val="21"/>
                <w:highlight w:val="none"/>
              </w:rPr>
              <w:t>计</w:t>
            </w:r>
            <w:r>
              <w:rPr>
                <w:rFonts w:hint="eastAsia" w:ascii="宋体" w:hAnsi="Times New Roman" w:eastAsia="宋体" w:cs="Times New Roman"/>
                <w:color w:val="auto"/>
                <w:sz w:val="21"/>
                <w:szCs w:val="21"/>
                <w:highlight w:val="none"/>
                <w:lang w:val="en-US" w:eastAsia="zh-CN"/>
              </w:rPr>
              <w:t>5</w:t>
            </w:r>
            <w:r>
              <w:rPr>
                <w:rFonts w:hint="eastAsia" w:ascii="宋体" w:hAnsi="Times New Roman" w:eastAsia="宋体" w:cs="Times New Roman"/>
                <w:color w:val="auto"/>
                <w:sz w:val="21"/>
                <w:szCs w:val="21"/>
                <w:highlight w:val="none"/>
              </w:rPr>
              <w:t>分</w:t>
            </w:r>
            <w:r>
              <w:rPr>
                <w:rFonts w:hint="eastAsia"/>
                <w:color w:val="auto"/>
                <w:sz w:val="21"/>
                <w:szCs w:val="21"/>
                <w:highlight w:val="none"/>
              </w:rPr>
              <w:t>，</w:t>
            </w:r>
            <w:r>
              <w:rPr>
                <w:rFonts w:hint="eastAsia" w:ascii="宋体" w:hAnsi="Times New Roman" w:eastAsia="宋体" w:cs="Times New Roman"/>
                <w:color w:val="auto"/>
                <w:sz w:val="21"/>
                <w:szCs w:val="21"/>
                <w:highlight w:val="none"/>
              </w:rPr>
              <w:t>基本合理的计</w:t>
            </w:r>
            <w:r>
              <w:rPr>
                <w:rFonts w:hint="eastAsia" w:ascii="宋体" w:hAnsi="Times New Roman" w:eastAsia="宋体" w:cs="Times New Roman"/>
                <w:color w:val="auto"/>
                <w:sz w:val="21"/>
                <w:szCs w:val="21"/>
                <w:highlight w:val="none"/>
                <w:lang w:val="en-US" w:eastAsia="zh-CN"/>
              </w:rPr>
              <w:t>3</w:t>
            </w:r>
            <w:r>
              <w:rPr>
                <w:rFonts w:hint="eastAsia" w:ascii="宋体" w:hAnsi="Times New Roman" w:eastAsia="宋体" w:cs="Times New Roman"/>
                <w:color w:val="auto"/>
                <w:sz w:val="21"/>
                <w:szCs w:val="21"/>
                <w:highlight w:val="none"/>
              </w:rPr>
              <w:t>分，一般的计1分</w:t>
            </w:r>
            <w:r>
              <w:rPr>
                <w:rFonts w:hint="eastAsia" w:ascii="宋体" w:hAnsi="Times New Roman" w:eastAsia="宋体" w:cs="Times New Roman"/>
                <w:color w:val="auto"/>
                <w:sz w:val="21"/>
                <w:szCs w:val="21"/>
                <w:highlight w:val="none"/>
                <w:lang w:eastAsia="zh-CN"/>
              </w:rPr>
              <w:t>，</w:t>
            </w:r>
            <w:r>
              <w:rPr>
                <w:rFonts w:hint="eastAsia" w:ascii="宋体" w:hAnsi="Times New Roman" w:eastAsia="宋体" w:cs="Times New Roman"/>
                <w:color w:val="auto"/>
                <w:sz w:val="21"/>
                <w:szCs w:val="21"/>
                <w:highlight w:val="none"/>
                <w:lang w:val="en-US" w:eastAsia="zh-CN"/>
              </w:rPr>
              <w:t>未提供不计分</w:t>
            </w:r>
            <w:r>
              <w:rPr>
                <w:rFonts w:hint="eastAsia"/>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97" w:type="dxa"/>
            <w:vMerge w:val="continue"/>
            <w:noWrap w:val="0"/>
            <w:vAlign w:val="center"/>
          </w:tcPr>
          <w:p>
            <w:pPr>
              <w:spacing w:line="360" w:lineRule="auto"/>
              <w:ind w:left="420" w:leftChars="50" w:hanging="315" w:hangingChars="150"/>
              <w:rPr>
                <w:rFonts w:ascii="宋体" w:hAnsi="宋体"/>
                <w:kern w:val="0"/>
                <w:sz w:val="21"/>
                <w:szCs w:val="21"/>
                <w:highlight w:val="none"/>
              </w:rPr>
            </w:pPr>
          </w:p>
        </w:tc>
        <w:tc>
          <w:tcPr>
            <w:tcW w:w="1248" w:type="dxa"/>
            <w:vMerge w:val="continue"/>
            <w:noWrap w:val="0"/>
            <w:vAlign w:val="center"/>
          </w:tcPr>
          <w:p>
            <w:pPr>
              <w:spacing w:line="360" w:lineRule="auto"/>
              <w:ind w:left="420" w:leftChars="50" w:hanging="315" w:hangingChars="150"/>
              <w:rPr>
                <w:rFonts w:ascii="宋体" w:hAnsi="宋体"/>
                <w:color w:val="auto"/>
                <w:kern w:val="0"/>
                <w:sz w:val="21"/>
                <w:szCs w:val="21"/>
                <w:highlight w:val="none"/>
              </w:rPr>
            </w:pPr>
          </w:p>
        </w:tc>
        <w:tc>
          <w:tcPr>
            <w:tcW w:w="1340" w:type="dxa"/>
            <w:noWrap w:val="0"/>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质量保证措施（5分）</w:t>
            </w:r>
          </w:p>
        </w:tc>
        <w:tc>
          <w:tcPr>
            <w:tcW w:w="6201" w:type="dxa"/>
            <w:noWrap w:val="0"/>
            <w:vAlign w:val="center"/>
          </w:tcPr>
          <w:p>
            <w:pPr>
              <w:spacing w:line="300" w:lineRule="exact"/>
              <w:jc w:val="left"/>
              <w:rPr>
                <w:rFonts w:hint="eastAsia" w:ascii="宋体"/>
                <w:color w:val="auto"/>
                <w:sz w:val="21"/>
                <w:szCs w:val="21"/>
                <w:highlight w:val="none"/>
              </w:rPr>
            </w:pPr>
            <w:r>
              <w:rPr>
                <w:rFonts w:hint="eastAsia" w:ascii="宋体" w:hAnsi="Times New Roman"/>
                <w:color w:val="auto"/>
                <w:sz w:val="21"/>
                <w:szCs w:val="21"/>
                <w:highlight w:val="none"/>
              </w:rPr>
              <w:t>根据供应商提供的</w:t>
            </w:r>
            <w:r>
              <w:rPr>
                <w:rFonts w:hint="eastAsia" w:ascii="宋体" w:hAnsi="Times New Roman"/>
                <w:b/>
                <w:bCs/>
                <w:color w:val="auto"/>
                <w:sz w:val="21"/>
                <w:szCs w:val="21"/>
                <w:highlight w:val="none"/>
              </w:rPr>
              <w:t>质量保证措施</w:t>
            </w:r>
            <w:r>
              <w:rPr>
                <w:rFonts w:hint="eastAsia" w:ascii="宋体" w:hAnsi="Times New Roman"/>
                <w:color w:val="auto"/>
                <w:sz w:val="21"/>
                <w:szCs w:val="21"/>
                <w:highlight w:val="none"/>
              </w:rPr>
              <w:t>进行综合评定、完整、科学的计5分，基本合理的计3分，一般的计1分</w:t>
            </w:r>
            <w:r>
              <w:rPr>
                <w:rFonts w:hint="eastAsia" w:ascii="宋体" w:hAnsi="Times New Roman"/>
                <w:color w:val="auto"/>
                <w:sz w:val="21"/>
                <w:szCs w:val="21"/>
                <w:highlight w:val="none"/>
                <w:lang w:eastAsia="zh-CN"/>
              </w:rPr>
              <w:t>，</w:t>
            </w:r>
            <w:r>
              <w:rPr>
                <w:rFonts w:hint="eastAsia" w:ascii="宋体" w:hAnsi="Times New Roman"/>
                <w:color w:val="auto"/>
                <w:sz w:val="21"/>
                <w:szCs w:val="21"/>
                <w:highlight w:val="none"/>
                <w:lang w:val="en-US" w:eastAsia="zh-CN"/>
              </w:rPr>
              <w:t>未提供不计分</w:t>
            </w:r>
            <w:r>
              <w:rPr>
                <w:rFonts w:hint="eastAsia" w:ascii="宋体" w:hAnsi="Times New Roman"/>
                <w:color w:val="auto"/>
                <w:sz w:val="21"/>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497" w:type="dxa"/>
            <w:vMerge w:val="continue"/>
            <w:noWrap w:val="0"/>
            <w:vAlign w:val="center"/>
          </w:tcPr>
          <w:p>
            <w:pPr>
              <w:spacing w:line="360" w:lineRule="auto"/>
              <w:ind w:left="420" w:leftChars="50" w:hanging="315" w:hangingChars="150"/>
              <w:rPr>
                <w:rFonts w:ascii="宋体" w:hAnsi="宋体"/>
                <w:kern w:val="0"/>
                <w:sz w:val="21"/>
                <w:szCs w:val="21"/>
                <w:highlight w:val="none"/>
              </w:rPr>
            </w:pPr>
          </w:p>
        </w:tc>
        <w:tc>
          <w:tcPr>
            <w:tcW w:w="1248" w:type="dxa"/>
            <w:vMerge w:val="continue"/>
            <w:noWrap w:val="0"/>
            <w:vAlign w:val="center"/>
          </w:tcPr>
          <w:p>
            <w:pPr>
              <w:spacing w:line="360" w:lineRule="auto"/>
              <w:ind w:left="420" w:leftChars="50" w:hanging="315" w:hangingChars="150"/>
              <w:rPr>
                <w:rFonts w:ascii="宋体" w:hAnsi="宋体"/>
                <w:color w:val="auto"/>
                <w:kern w:val="0"/>
                <w:sz w:val="21"/>
                <w:szCs w:val="21"/>
                <w:highlight w:val="none"/>
              </w:rPr>
            </w:pPr>
          </w:p>
        </w:tc>
        <w:tc>
          <w:tcPr>
            <w:tcW w:w="1340" w:type="dxa"/>
            <w:noWrap w:val="0"/>
            <w:vAlign w:val="center"/>
          </w:tcPr>
          <w:p>
            <w:pPr>
              <w:adjustRightInd w:val="0"/>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数据相符性（1</w:t>
            </w: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分）</w:t>
            </w:r>
          </w:p>
        </w:tc>
        <w:tc>
          <w:tcPr>
            <w:tcW w:w="6201" w:type="dxa"/>
            <w:noWrap w:val="0"/>
            <w:vAlign w:val="center"/>
          </w:tcPr>
          <w:p>
            <w:pPr>
              <w:spacing w:line="300" w:lineRule="exact"/>
              <w:jc w:val="left"/>
              <w:rPr>
                <w:rFonts w:hint="default" w:ascii="宋体" w:eastAsia="宋体"/>
                <w:color w:val="auto"/>
                <w:sz w:val="21"/>
                <w:szCs w:val="21"/>
                <w:highlight w:val="none"/>
                <w:lang w:val="en-US" w:eastAsia="zh-CN"/>
              </w:rPr>
            </w:pPr>
            <w:r>
              <w:rPr>
                <w:rFonts w:hint="eastAsia" w:ascii="宋体" w:hAnsi="Times New Roman"/>
                <w:color w:val="auto"/>
                <w:sz w:val="21"/>
                <w:szCs w:val="21"/>
                <w:highlight w:val="none"/>
              </w:rPr>
              <w:t>根据供应商提供</w:t>
            </w:r>
            <w:r>
              <w:rPr>
                <w:rFonts w:hint="eastAsia" w:ascii="宋体" w:hAnsi="Times New Roman"/>
                <w:color w:val="auto"/>
                <w:sz w:val="21"/>
                <w:szCs w:val="21"/>
                <w:highlight w:val="none"/>
                <w:lang w:val="en-US" w:eastAsia="zh-CN"/>
              </w:rPr>
              <w:t>拥有所有权的资产清查项目管理系统软件的支持,该软件能满足“</w:t>
            </w:r>
            <w:r>
              <w:rPr>
                <w:rFonts w:hint="eastAsia" w:ascii="宋体" w:hAnsi="Times New Roman"/>
                <w:color w:val="auto"/>
                <w:sz w:val="21"/>
                <w:szCs w:val="21"/>
                <w:highlight w:val="none"/>
              </w:rPr>
              <w:t>湖南省预算管理一体化系统资产管理</w:t>
            </w:r>
            <w:r>
              <w:rPr>
                <w:rFonts w:hint="eastAsia" w:ascii="宋体" w:hAnsi="Times New Roman"/>
                <w:color w:val="auto"/>
                <w:sz w:val="21"/>
                <w:szCs w:val="21"/>
                <w:highlight w:val="none"/>
                <w:lang w:eastAsia="zh-CN"/>
              </w:rPr>
              <w:t>板块</w:t>
            </w:r>
            <w:r>
              <w:rPr>
                <w:rFonts w:hint="eastAsia" w:ascii="宋体" w:hAnsi="Times New Roman"/>
                <w:color w:val="auto"/>
                <w:sz w:val="21"/>
                <w:szCs w:val="21"/>
                <w:highlight w:val="none"/>
              </w:rPr>
              <w:t>”</w:t>
            </w:r>
            <w:r>
              <w:rPr>
                <w:rFonts w:hint="eastAsia" w:ascii="宋体" w:hAnsi="Times New Roman"/>
                <w:color w:val="auto"/>
                <w:sz w:val="21"/>
                <w:szCs w:val="21"/>
                <w:highlight w:val="none"/>
                <w:lang w:eastAsia="zh-CN"/>
              </w:rPr>
              <w:t>中数据互相对接要求</w:t>
            </w:r>
            <w:r>
              <w:rPr>
                <w:rFonts w:hint="eastAsia" w:ascii="宋体" w:hAnsi="Times New Roman"/>
                <w:b/>
                <w:bCs/>
                <w:color w:val="auto"/>
                <w:sz w:val="21"/>
                <w:szCs w:val="21"/>
                <w:highlight w:val="none"/>
              </w:rPr>
              <w:t>的相关证明文件以及信息准确度</w:t>
            </w:r>
            <w:r>
              <w:rPr>
                <w:rFonts w:hint="eastAsia" w:ascii="宋体" w:hAnsi="Times New Roman"/>
                <w:color w:val="auto"/>
                <w:sz w:val="21"/>
                <w:szCs w:val="21"/>
                <w:highlight w:val="none"/>
              </w:rPr>
              <w:t>进行综合评定、完整、科学的计</w:t>
            </w:r>
            <w:r>
              <w:rPr>
                <w:rFonts w:hint="eastAsia" w:ascii="宋体" w:hAnsi="Times New Roman"/>
                <w:color w:val="auto"/>
                <w:sz w:val="21"/>
                <w:szCs w:val="21"/>
                <w:highlight w:val="none"/>
                <w:lang w:val="en-US" w:eastAsia="zh-CN"/>
              </w:rPr>
              <w:t>7-</w:t>
            </w:r>
            <w:r>
              <w:rPr>
                <w:rFonts w:hint="eastAsia" w:ascii="宋体" w:hAnsi="Times New Roman"/>
                <w:color w:val="auto"/>
                <w:sz w:val="21"/>
                <w:szCs w:val="21"/>
                <w:highlight w:val="none"/>
              </w:rPr>
              <w:t>1</w:t>
            </w:r>
            <w:r>
              <w:rPr>
                <w:rFonts w:hint="eastAsia" w:ascii="宋体" w:hAnsi="Times New Roman"/>
                <w:color w:val="auto"/>
                <w:sz w:val="21"/>
                <w:szCs w:val="21"/>
                <w:highlight w:val="none"/>
                <w:lang w:val="en-US" w:eastAsia="zh-CN"/>
              </w:rPr>
              <w:t>5</w:t>
            </w:r>
            <w:r>
              <w:rPr>
                <w:rFonts w:hint="eastAsia" w:ascii="宋体" w:hAnsi="Times New Roman"/>
                <w:color w:val="auto"/>
                <w:sz w:val="21"/>
                <w:szCs w:val="21"/>
                <w:highlight w:val="none"/>
              </w:rPr>
              <w:t>分，基本合理的计</w:t>
            </w:r>
            <w:r>
              <w:rPr>
                <w:rFonts w:hint="eastAsia" w:ascii="宋体" w:hAnsi="Times New Roman"/>
                <w:color w:val="auto"/>
                <w:sz w:val="21"/>
                <w:szCs w:val="21"/>
                <w:highlight w:val="none"/>
                <w:lang w:val="en-US" w:eastAsia="zh-CN"/>
              </w:rPr>
              <w:t>4-6</w:t>
            </w:r>
            <w:r>
              <w:rPr>
                <w:rFonts w:hint="eastAsia" w:ascii="宋体" w:hAnsi="Times New Roman"/>
                <w:color w:val="auto"/>
                <w:sz w:val="21"/>
                <w:szCs w:val="21"/>
                <w:highlight w:val="none"/>
              </w:rPr>
              <w:t>分，一般的计</w:t>
            </w:r>
            <w:r>
              <w:rPr>
                <w:rFonts w:hint="eastAsia" w:ascii="宋体" w:hAnsi="Times New Roman"/>
                <w:color w:val="auto"/>
                <w:sz w:val="21"/>
                <w:szCs w:val="21"/>
                <w:highlight w:val="none"/>
                <w:lang w:val="en-US" w:eastAsia="zh-CN"/>
              </w:rPr>
              <w:t>3</w:t>
            </w:r>
            <w:r>
              <w:rPr>
                <w:rFonts w:hint="eastAsia" w:ascii="宋体" w:hAnsi="Times New Roman"/>
                <w:color w:val="auto"/>
                <w:sz w:val="21"/>
                <w:szCs w:val="21"/>
                <w:highlight w:val="none"/>
              </w:rPr>
              <w:t>分</w:t>
            </w:r>
            <w:r>
              <w:rPr>
                <w:rFonts w:hint="eastAsia" w:ascii="宋体" w:hAnsi="Times New Roman"/>
                <w:color w:val="auto"/>
                <w:sz w:val="21"/>
                <w:szCs w:val="21"/>
                <w:highlight w:val="none"/>
                <w:lang w:eastAsia="zh-CN"/>
              </w:rPr>
              <w:t>，</w:t>
            </w:r>
            <w:r>
              <w:rPr>
                <w:rFonts w:hint="eastAsia" w:ascii="宋体" w:hAnsi="Times New Roman"/>
                <w:color w:val="auto"/>
                <w:sz w:val="21"/>
                <w:szCs w:val="21"/>
                <w:highlight w:val="none"/>
                <w:lang w:val="en-US" w:eastAsia="zh-CN"/>
              </w:rPr>
              <w:t>未提供不计分。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97" w:type="dxa"/>
            <w:vMerge w:val="continue"/>
            <w:noWrap w:val="0"/>
            <w:vAlign w:val="center"/>
          </w:tcPr>
          <w:p>
            <w:pPr>
              <w:spacing w:line="360" w:lineRule="auto"/>
              <w:ind w:left="420" w:leftChars="50" w:hanging="315" w:hangingChars="150"/>
              <w:rPr>
                <w:rFonts w:ascii="宋体" w:hAnsi="宋体"/>
                <w:kern w:val="0"/>
                <w:sz w:val="21"/>
                <w:szCs w:val="21"/>
                <w:highlight w:val="none"/>
              </w:rPr>
            </w:pPr>
          </w:p>
        </w:tc>
        <w:tc>
          <w:tcPr>
            <w:tcW w:w="1248" w:type="dxa"/>
            <w:vMerge w:val="continue"/>
            <w:noWrap w:val="0"/>
            <w:vAlign w:val="center"/>
          </w:tcPr>
          <w:p>
            <w:pPr>
              <w:spacing w:line="360" w:lineRule="auto"/>
              <w:ind w:left="420" w:leftChars="50" w:hanging="315" w:hangingChars="150"/>
              <w:rPr>
                <w:rFonts w:ascii="宋体" w:hAnsi="宋体"/>
                <w:color w:val="auto"/>
                <w:kern w:val="0"/>
                <w:sz w:val="21"/>
                <w:szCs w:val="21"/>
                <w:highlight w:val="none"/>
              </w:rPr>
            </w:pPr>
          </w:p>
        </w:tc>
        <w:tc>
          <w:tcPr>
            <w:tcW w:w="1340" w:type="dxa"/>
            <w:noWrap w:val="0"/>
            <w:vAlign w:val="center"/>
          </w:tcPr>
          <w:p>
            <w:pPr>
              <w:adjustRightInd w:val="0"/>
              <w:snapToGrid w:val="0"/>
              <w:rPr>
                <w:rFonts w:hint="eastAsia" w:ascii="宋体" w:hAnsi="宋体" w:cs="宋体"/>
                <w:color w:val="auto"/>
                <w:kern w:val="0"/>
                <w:sz w:val="21"/>
                <w:szCs w:val="21"/>
                <w:highlight w:val="none"/>
              </w:rPr>
            </w:pPr>
            <w:r>
              <w:rPr>
                <w:rFonts w:hint="eastAsia"/>
                <w:color w:val="auto"/>
                <w:sz w:val="21"/>
                <w:szCs w:val="21"/>
                <w:highlight w:val="none"/>
              </w:rPr>
              <w:t>服</w:t>
            </w:r>
            <w:r>
              <w:rPr>
                <w:rFonts w:hint="eastAsia" w:ascii="宋体" w:hAnsi="宋体" w:cs="宋体"/>
                <w:color w:val="auto"/>
                <w:kern w:val="0"/>
                <w:sz w:val="21"/>
                <w:szCs w:val="21"/>
                <w:highlight w:val="none"/>
              </w:rPr>
              <w:t>务承诺</w:t>
            </w:r>
          </w:p>
          <w:p>
            <w:pPr>
              <w:adjustRightInd w:val="0"/>
              <w:snapToGrid w:val="0"/>
              <w:rPr>
                <w:color w:val="auto"/>
                <w:sz w:val="21"/>
                <w:szCs w:val="21"/>
                <w:highlight w:val="none"/>
              </w:rPr>
            </w:pPr>
            <w:r>
              <w:rPr>
                <w:rFonts w:hint="eastAsia" w:ascii="宋体" w:hAnsi="宋体" w:cs="宋体"/>
                <w:color w:val="auto"/>
                <w:kern w:val="0"/>
                <w:sz w:val="21"/>
                <w:szCs w:val="21"/>
                <w:highlight w:val="none"/>
              </w:rPr>
              <w:t>（10分</w:t>
            </w:r>
            <w:r>
              <w:rPr>
                <w:rFonts w:hint="eastAsia" w:cs="宋体"/>
                <w:color w:val="auto"/>
                <w:kern w:val="0"/>
                <w:sz w:val="21"/>
                <w:szCs w:val="21"/>
                <w:highlight w:val="none"/>
              </w:rPr>
              <w:t>）</w:t>
            </w:r>
          </w:p>
        </w:tc>
        <w:tc>
          <w:tcPr>
            <w:tcW w:w="6201" w:type="dxa"/>
            <w:noWrap w:val="0"/>
            <w:vAlign w:val="center"/>
          </w:tcPr>
          <w:p>
            <w:pPr>
              <w:jc w:val="left"/>
              <w:rPr>
                <w:rFonts w:hint="eastAsia" w:ascii="宋体" w:hAnsi="Times New Roman"/>
                <w:color w:val="auto"/>
                <w:sz w:val="21"/>
                <w:szCs w:val="21"/>
                <w:highlight w:val="none"/>
              </w:rPr>
            </w:pPr>
            <w:r>
              <w:rPr>
                <w:rFonts w:hint="eastAsia" w:ascii="宋体" w:hAnsi="宋体" w:cs="宋体"/>
                <w:color w:val="auto"/>
                <w:kern w:val="0"/>
                <w:sz w:val="21"/>
                <w:szCs w:val="21"/>
                <w:highlight w:val="none"/>
              </w:rPr>
              <w:t>服务承诺包括但不限于服务方案、服务期、响应时间、</w:t>
            </w:r>
            <w:r>
              <w:rPr>
                <w:rFonts w:hint="eastAsia" w:ascii="宋体" w:hAnsi="Times New Roman"/>
                <w:b/>
                <w:bCs/>
                <w:color w:val="auto"/>
                <w:sz w:val="21"/>
                <w:szCs w:val="21"/>
                <w:highlight w:val="none"/>
              </w:rPr>
              <w:t>项目完成之后售后服务承诺</w:t>
            </w:r>
            <w:r>
              <w:rPr>
                <w:rFonts w:hint="eastAsia" w:ascii="宋体" w:hAnsi="宋体" w:cs="宋体"/>
                <w:color w:val="auto"/>
                <w:kern w:val="0"/>
                <w:sz w:val="21"/>
                <w:szCs w:val="21"/>
                <w:highlight w:val="none"/>
              </w:rPr>
              <w:t>等；</w:t>
            </w:r>
          </w:p>
          <w:p>
            <w:pPr>
              <w:spacing w:line="300" w:lineRule="exact"/>
              <w:jc w:val="left"/>
              <w:rPr>
                <w:rFonts w:ascii="宋体"/>
                <w:color w:val="auto"/>
                <w:sz w:val="21"/>
                <w:szCs w:val="21"/>
                <w:highlight w:val="none"/>
              </w:rPr>
            </w:pPr>
            <w:r>
              <w:rPr>
                <w:rFonts w:hint="eastAsia" w:ascii="宋体" w:hAnsi="Times New Roman"/>
                <w:color w:val="auto"/>
                <w:sz w:val="21"/>
                <w:szCs w:val="21"/>
                <w:highlight w:val="none"/>
              </w:rPr>
              <w:t>根据供应商提供服务承诺进行综合评定、完整、科学的计</w:t>
            </w:r>
            <w:r>
              <w:rPr>
                <w:rFonts w:hint="eastAsia" w:ascii="宋体" w:hAnsi="Times New Roman"/>
                <w:color w:val="auto"/>
                <w:sz w:val="21"/>
                <w:szCs w:val="21"/>
                <w:highlight w:val="none"/>
                <w:lang w:val="en-US" w:eastAsia="zh-CN"/>
              </w:rPr>
              <w:t>7-</w:t>
            </w:r>
            <w:r>
              <w:rPr>
                <w:rFonts w:hint="eastAsia" w:ascii="宋体" w:hAnsi="Times New Roman"/>
                <w:color w:val="auto"/>
                <w:sz w:val="21"/>
                <w:szCs w:val="21"/>
                <w:highlight w:val="none"/>
              </w:rPr>
              <w:t>10分，基本合理的计</w:t>
            </w:r>
            <w:r>
              <w:rPr>
                <w:rFonts w:hint="eastAsia" w:ascii="宋体" w:hAnsi="Times New Roman"/>
                <w:color w:val="auto"/>
                <w:sz w:val="21"/>
                <w:szCs w:val="21"/>
                <w:highlight w:val="none"/>
                <w:lang w:val="en-US" w:eastAsia="zh-CN"/>
              </w:rPr>
              <w:t>3-</w:t>
            </w:r>
            <w:bookmarkStart w:id="1" w:name="_GoBack"/>
            <w:bookmarkEnd w:id="1"/>
            <w:r>
              <w:rPr>
                <w:rFonts w:hint="eastAsia" w:ascii="宋体" w:hAnsi="Times New Roman"/>
                <w:color w:val="auto"/>
                <w:sz w:val="21"/>
                <w:szCs w:val="21"/>
                <w:highlight w:val="none"/>
              </w:rPr>
              <w:t>6分，一般的计2分</w:t>
            </w:r>
            <w:r>
              <w:rPr>
                <w:rFonts w:hint="eastAsia" w:ascii="宋体" w:hAnsi="Times New Roman"/>
                <w:color w:val="auto"/>
                <w:sz w:val="21"/>
                <w:szCs w:val="21"/>
                <w:highlight w:val="none"/>
                <w:lang w:eastAsia="zh-CN"/>
              </w:rPr>
              <w:t>，</w:t>
            </w:r>
            <w:r>
              <w:rPr>
                <w:rFonts w:hint="eastAsia" w:ascii="宋体" w:hAnsi="Times New Roman"/>
                <w:color w:val="auto"/>
                <w:sz w:val="21"/>
                <w:szCs w:val="21"/>
                <w:highlight w:val="none"/>
                <w:lang w:val="en-US" w:eastAsia="zh-CN"/>
              </w:rPr>
              <w:t>未提供不计分。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97" w:type="dxa"/>
            <w:vMerge w:val="restart"/>
            <w:noWrap w:val="0"/>
            <w:vAlign w:val="center"/>
          </w:tcPr>
          <w:p>
            <w:pPr>
              <w:spacing w:line="320" w:lineRule="exact"/>
              <w:ind w:left="420" w:leftChars="50" w:hanging="315" w:hangingChars="150"/>
              <w:rPr>
                <w:rFonts w:ascii="宋体" w:hAnsi="宋体"/>
                <w:kern w:val="0"/>
                <w:sz w:val="21"/>
                <w:szCs w:val="21"/>
                <w:highlight w:val="none"/>
              </w:rPr>
            </w:pPr>
            <w:r>
              <w:rPr>
                <w:rFonts w:hint="eastAsia" w:ascii="宋体" w:hAnsi="宋体"/>
                <w:kern w:val="0"/>
                <w:sz w:val="21"/>
                <w:szCs w:val="21"/>
                <w:highlight w:val="none"/>
              </w:rPr>
              <w:t>3</w:t>
            </w:r>
          </w:p>
        </w:tc>
        <w:tc>
          <w:tcPr>
            <w:tcW w:w="1248" w:type="dxa"/>
            <w:vMerge w:val="restart"/>
            <w:noWrap w:val="0"/>
            <w:vAlign w:val="center"/>
          </w:tcPr>
          <w:p>
            <w:pPr>
              <w:spacing w:line="360" w:lineRule="auto"/>
              <w:ind w:left="420" w:leftChars="50" w:hanging="315" w:hangingChars="150"/>
              <w:rPr>
                <w:rFonts w:ascii="宋体" w:hAnsi="宋体"/>
                <w:kern w:val="0"/>
                <w:sz w:val="21"/>
                <w:szCs w:val="21"/>
                <w:highlight w:val="none"/>
              </w:rPr>
            </w:pPr>
            <w:r>
              <w:rPr>
                <w:rFonts w:hint="eastAsia" w:ascii="宋体" w:hAnsi="宋体"/>
                <w:kern w:val="0"/>
                <w:sz w:val="21"/>
                <w:szCs w:val="21"/>
                <w:highlight w:val="none"/>
              </w:rPr>
              <w:t>商务部分</w:t>
            </w:r>
          </w:p>
          <w:p>
            <w:pPr>
              <w:pStyle w:val="3"/>
              <w:spacing w:line="360" w:lineRule="auto"/>
              <w:rPr>
                <w:rFonts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（30分）</w:t>
            </w:r>
          </w:p>
        </w:tc>
        <w:tc>
          <w:tcPr>
            <w:tcW w:w="1340" w:type="dxa"/>
            <w:noWrap w:val="0"/>
            <w:vAlign w:val="center"/>
          </w:tcPr>
          <w:p>
            <w:pPr>
              <w:adjustRightInd w:val="0"/>
              <w:snapToGrid w:val="0"/>
              <w:rPr>
                <w:rFonts w:hint="eastAsia" w:ascii="宋体" w:hAnsi="宋体" w:cs="宋体"/>
                <w:kern w:val="0"/>
                <w:sz w:val="21"/>
                <w:szCs w:val="21"/>
                <w:highlight w:val="none"/>
              </w:rPr>
            </w:pPr>
            <w:r>
              <w:rPr>
                <w:rFonts w:hint="eastAsia" w:ascii="宋体" w:hAnsi="宋体" w:cs="宋体"/>
                <w:kern w:val="0"/>
                <w:sz w:val="21"/>
                <w:szCs w:val="21"/>
                <w:highlight w:val="none"/>
              </w:rPr>
              <w:t>类似项目业绩</w:t>
            </w:r>
            <w:r>
              <w:rPr>
                <w:rFonts w:hint="eastAsia" w:ascii="宋体" w:hAnsi="Times New Roman" w:eastAsia="宋体" w:cs="Times New Roman"/>
                <w:kern w:val="2"/>
                <w:sz w:val="21"/>
                <w:szCs w:val="21"/>
                <w:highlight w:val="none"/>
                <w:lang w:val="en-US" w:eastAsia="zh-CN" w:bidi="ar-SA"/>
              </w:rPr>
              <w:t>（2</w:t>
            </w:r>
            <w:r>
              <w:rPr>
                <w:rFonts w:hint="eastAsia" w:ascii="宋体" w:hAnsi="Times New Roman" w:cs="Times New Roman"/>
                <w:kern w:val="2"/>
                <w:sz w:val="21"/>
                <w:szCs w:val="21"/>
                <w:highlight w:val="none"/>
                <w:lang w:val="en-US" w:eastAsia="zh-CN" w:bidi="ar-SA"/>
              </w:rPr>
              <w:t>0</w:t>
            </w:r>
            <w:r>
              <w:rPr>
                <w:rFonts w:hint="eastAsia" w:ascii="宋体" w:hAnsi="Times New Roman" w:eastAsia="宋体" w:cs="Times New Roman"/>
                <w:kern w:val="2"/>
                <w:sz w:val="21"/>
                <w:szCs w:val="21"/>
                <w:highlight w:val="none"/>
                <w:lang w:val="en-US" w:eastAsia="zh-CN" w:bidi="ar-SA"/>
              </w:rPr>
              <w:t>分</w:t>
            </w:r>
            <w:r>
              <w:rPr>
                <w:rFonts w:hint="eastAsia" w:ascii="宋体" w:hAnsi="宋体" w:cs="宋体"/>
                <w:kern w:val="0"/>
                <w:sz w:val="21"/>
                <w:szCs w:val="21"/>
                <w:highlight w:val="none"/>
              </w:rPr>
              <w:t>）</w:t>
            </w:r>
          </w:p>
        </w:tc>
        <w:tc>
          <w:tcPr>
            <w:tcW w:w="6201" w:type="dxa"/>
            <w:noWrap w:val="0"/>
            <w:vAlign w:val="center"/>
          </w:tcPr>
          <w:p>
            <w:pPr>
              <w:pStyle w:val="8"/>
              <w:ind w:left="0" w:leftChars="0" w:firstLine="0" w:firstLineChars="0"/>
              <w:jc w:val="left"/>
              <w:rPr>
                <w:rFonts w:hAnsi="Times New Roman"/>
                <w:kern w:val="2"/>
                <w:sz w:val="21"/>
                <w:szCs w:val="21"/>
                <w:highlight w:val="none"/>
                <w:lang w:val="en-US" w:eastAsia="zh-CN"/>
              </w:rPr>
            </w:pPr>
            <w:r>
              <w:rPr>
                <w:rFonts w:hint="eastAsia" w:ascii="宋体" w:hAnsi="Times New Roman" w:eastAsia="宋体" w:cs="Times New Roman"/>
                <w:kern w:val="2"/>
                <w:sz w:val="21"/>
                <w:szCs w:val="21"/>
                <w:highlight w:val="none"/>
                <w:lang w:val="en-US" w:eastAsia="zh-CN"/>
              </w:rPr>
              <w:t>投标人提供近三年内具有类似项目业绩（已合同签订时间为准），</w:t>
            </w:r>
            <w:r>
              <w:rPr>
                <w:rFonts w:hint="eastAsia" w:hAnsi="Times New Roman"/>
                <w:kern w:val="2"/>
                <w:sz w:val="21"/>
                <w:szCs w:val="21"/>
                <w:highlight w:val="none"/>
                <w:lang w:val="en-US" w:eastAsia="zh-CN"/>
              </w:rPr>
              <w:t>每个计5分，本项最多计20分（需附购销合同扫描件并加盖公章，</w:t>
            </w:r>
            <w:r>
              <w:rPr>
                <w:rFonts w:hint="eastAsia" w:hAnsi="Times New Roman"/>
                <w:b w:val="0"/>
                <w:bCs w:val="0"/>
                <w:kern w:val="2"/>
                <w:sz w:val="21"/>
                <w:szCs w:val="21"/>
                <w:highlight w:val="none"/>
                <w:lang w:val="en-US" w:eastAsia="zh-CN"/>
              </w:rPr>
              <w:t>并提供原件备查，</w:t>
            </w:r>
            <w:r>
              <w:rPr>
                <w:rFonts w:hint="eastAsia" w:hAnsi="Times New Roman"/>
                <w:kern w:val="2"/>
                <w:sz w:val="21"/>
                <w:szCs w:val="21"/>
                <w:highlight w:val="none"/>
                <w:lang w:val="en-US" w:eastAsia="zh-CN"/>
              </w:rPr>
              <w:t>否则不计分）。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497" w:type="dxa"/>
            <w:vMerge w:val="continue"/>
            <w:noWrap w:val="0"/>
            <w:vAlign w:val="center"/>
          </w:tcPr>
          <w:p>
            <w:pPr>
              <w:spacing w:line="320" w:lineRule="exact"/>
              <w:ind w:left="420" w:leftChars="50" w:hanging="315" w:hangingChars="150"/>
              <w:rPr>
                <w:rFonts w:ascii="宋体" w:hAnsi="宋体"/>
                <w:kern w:val="0"/>
                <w:sz w:val="21"/>
                <w:szCs w:val="21"/>
                <w:highlight w:val="none"/>
              </w:rPr>
            </w:pPr>
          </w:p>
        </w:tc>
        <w:tc>
          <w:tcPr>
            <w:tcW w:w="1248" w:type="dxa"/>
            <w:vMerge w:val="continue"/>
            <w:noWrap w:val="0"/>
            <w:vAlign w:val="center"/>
          </w:tcPr>
          <w:p>
            <w:pPr>
              <w:spacing w:line="360" w:lineRule="auto"/>
              <w:ind w:left="420" w:leftChars="50" w:hanging="315" w:hangingChars="150"/>
              <w:rPr>
                <w:rFonts w:ascii="宋体" w:hAnsi="宋体"/>
                <w:kern w:val="0"/>
                <w:sz w:val="21"/>
                <w:szCs w:val="21"/>
                <w:highlight w:val="none"/>
              </w:rPr>
            </w:pPr>
          </w:p>
        </w:tc>
        <w:tc>
          <w:tcPr>
            <w:tcW w:w="1340" w:type="dxa"/>
            <w:noWrap w:val="0"/>
            <w:vAlign w:val="center"/>
          </w:tcPr>
          <w:p>
            <w:pPr>
              <w:pStyle w:val="8"/>
              <w:ind w:left="0" w:leftChars="0" w:firstLine="0" w:firstLineChars="0"/>
              <w:jc w:val="left"/>
              <w:rPr>
                <w:rFonts w:hint="eastAsia" w:ascii="宋体" w:hAnsi="Times New Roman" w:eastAsia="宋体" w:cs="Times New Roman"/>
                <w:kern w:val="2"/>
                <w:sz w:val="21"/>
                <w:szCs w:val="21"/>
                <w:highlight w:val="none"/>
                <w:lang w:val="en-US" w:eastAsia="zh-CN"/>
              </w:rPr>
            </w:pPr>
            <w:r>
              <w:rPr>
                <w:rFonts w:hint="eastAsia" w:ascii="宋体" w:hAnsi="Times New Roman" w:eastAsia="宋体" w:cs="Times New Roman"/>
                <w:kern w:val="2"/>
                <w:sz w:val="21"/>
                <w:szCs w:val="21"/>
                <w:highlight w:val="none"/>
                <w:lang w:val="en-US" w:eastAsia="zh-CN"/>
              </w:rPr>
              <w:t>公司实力</w:t>
            </w:r>
          </w:p>
          <w:p>
            <w:pPr>
              <w:pStyle w:val="8"/>
              <w:ind w:left="0" w:leftChars="0" w:firstLine="0" w:firstLineChars="0"/>
              <w:jc w:val="left"/>
              <w:rPr>
                <w:rFonts w:hint="eastAsia" w:ascii="宋体" w:hAnsi="Times New Roman" w:eastAsia="宋体" w:cs="Times New Roman"/>
                <w:kern w:val="2"/>
                <w:sz w:val="21"/>
                <w:szCs w:val="21"/>
                <w:highlight w:val="none"/>
                <w:lang w:val="en-US" w:eastAsia="zh-CN"/>
              </w:rPr>
            </w:pPr>
            <w:r>
              <w:rPr>
                <w:rFonts w:hint="eastAsia" w:ascii="宋体" w:hAnsi="Times New Roman" w:eastAsia="宋体" w:cs="Times New Roman"/>
                <w:kern w:val="2"/>
                <w:sz w:val="21"/>
                <w:szCs w:val="21"/>
                <w:highlight w:val="none"/>
                <w:lang w:val="en-US" w:eastAsia="zh-CN"/>
              </w:rPr>
              <w:t>（</w:t>
            </w:r>
            <w:r>
              <w:rPr>
                <w:rFonts w:hint="eastAsia" w:hAnsi="Times New Roman" w:cs="Times New Roman"/>
                <w:kern w:val="2"/>
                <w:sz w:val="21"/>
                <w:szCs w:val="21"/>
                <w:highlight w:val="none"/>
                <w:lang w:val="en-US" w:eastAsia="zh-CN"/>
              </w:rPr>
              <w:t>6</w:t>
            </w:r>
            <w:r>
              <w:rPr>
                <w:rFonts w:hint="eastAsia" w:ascii="宋体" w:hAnsi="Times New Roman" w:eastAsia="宋体" w:cs="Times New Roman"/>
                <w:kern w:val="2"/>
                <w:sz w:val="21"/>
                <w:szCs w:val="21"/>
                <w:highlight w:val="none"/>
                <w:lang w:val="en-US" w:eastAsia="zh-CN"/>
              </w:rPr>
              <w:t>分）</w:t>
            </w:r>
          </w:p>
        </w:tc>
        <w:tc>
          <w:tcPr>
            <w:tcW w:w="6201" w:type="dxa"/>
            <w:noWrap w:val="0"/>
            <w:vAlign w:val="center"/>
          </w:tcPr>
          <w:p>
            <w:pPr>
              <w:pStyle w:val="8"/>
              <w:ind w:left="0" w:leftChars="0" w:firstLine="0" w:firstLineChars="0"/>
              <w:jc w:val="left"/>
              <w:rPr>
                <w:rFonts w:hint="default" w:ascii="宋体" w:hAnsi="Times New Roman" w:eastAsia="宋体" w:cs="Times New Roman"/>
                <w:kern w:val="2"/>
                <w:sz w:val="21"/>
                <w:szCs w:val="21"/>
                <w:highlight w:val="none"/>
                <w:lang w:val="en-US" w:eastAsia="zh-CN"/>
              </w:rPr>
            </w:pPr>
            <w:r>
              <w:rPr>
                <w:rFonts w:hint="eastAsia" w:ascii="宋体" w:hAnsi="Times New Roman" w:eastAsia="宋体" w:cs="Times New Roman"/>
                <w:kern w:val="2"/>
                <w:sz w:val="21"/>
                <w:szCs w:val="21"/>
                <w:highlight w:val="none"/>
                <w:lang w:val="en-US" w:eastAsia="zh-CN"/>
              </w:rPr>
              <w:t>供应商</w:t>
            </w:r>
            <w:r>
              <w:rPr>
                <w:rFonts w:hint="eastAsia" w:hAnsi="Times New Roman" w:cs="Times New Roman"/>
                <w:kern w:val="2"/>
                <w:sz w:val="21"/>
                <w:szCs w:val="21"/>
                <w:highlight w:val="none"/>
                <w:lang w:val="en-US" w:eastAsia="zh-CN"/>
              </w:rPr>
              <w:t>同时</w:t>
            </w:r>
            <w:r>
              <w:rPr>
                <w:rFonts w:hint="eastAsia" w:ascii="宋体" w:hAnsi="Times New Roman" w:eastAsia="宋体" w:cs="Times New Roman"/>
                <w:kern w:val="2"/>
                <w:sz w:val="21"/>
                <w:szCs w:val="21"/>
                <w:highlight w:val="none"/>
                <w:lang w:val="en-US" w:eastAsia="zh-CN"/>
              </w:rPr>
              <w:t>具有行政事业单位资产管理信息系统</w:t>
            </w:r>
            <w:r>
              <w:rPr>
                <w:rFonts w:hint="eastAsia" w:hAnsi="Times New Roman" w:cs="Times New Roman"/>
                <w:kern w:val="2"/>
                <w:sz w:val="21"/>
                <w:szCs w:val="21"/>
                <w:highlight w:val="none"/>
                <w:lang w:val="en-US" w:eastAsia="zh-CN"/>
              </w:rPr>
              <w:t>著作权，湖南省财政厅、湖南省科学技术厅等主管部门颁发的高新技术企业证书</w:t>
            </w:r>
            <w:r>
              <w:rPr>
                <w:rFonts w:hint="eastAsia" w:ascii="宋体" w:hAnsi="Times New Roman" w:eastAsia="宋体" w:cs="Times New Roman"/>
                <w:kern w:val="2"/>
                <w:sz w:val="21"/>
                <w:szCs w:val="21"/>
                <w:highlight w:val="none"/>
                <w:lang w:val="en-US" w:eastAsia="zh-CN"/>
              </w:rPr>
              <w:t>（响应文件中提供证书复印件并加盖供应商公章，否则不计分）</w:t>
            </w:r>
            <w:r>
              <w:rPr>
                <w:rFonts w:hint="eastAsia" w:hAnsi="Times New Roman" w:cs="Times New Roman"/>
                <w:kern w:val="2"/>
                <w:sz w:val="21"/>
                <w:szCs w:val="21"/>
                <w:highlight w:val="none"/>
                <w:lang w:val="en-US" w:eastAsia="zh-CN"/>
              </w:rPr>
              <w:t>计6分，</w:t>
            </w:r>
            <w:r>
              <w:rPr>
                <w:rFonts w:hint="eastAsia" w:hAnsi="Times New Roman"/>
                <w:color w:val="auto"/>
                <w:sz w:val="21"/>
                <w:szCs w:val="21"/>
                <w:highlight w:val="none"/>
                <w:lang w:val="en-US" w:eastAsia="zh-CN"/>
              </w:rPr>
              <w:t>提供不全或</w:t>
            </w:r>
            <w:r>
              <w:rPr>
                <w:rFonts w:hint="eastAsia" w:ascii="宋体" w:hAnsi="Times New Roman"/>
                <w:color w:val="auto"/>
                <w:sz w:val="21"/>
                <w:szCs w:val="21"/>
                <w:highlight w:val="none"/>
                <w:lang w:val="en-US" w:eastAsia="zh-CN"/>
              </w:rPr>
              <w:t>未提供不计分。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497" w:type="dxa"/>
            <w:vMerge w:val="continue"/>
            <w:noWrap w:val="0"/>
            <w:vAlign w:val="center"/>
          </w:tcPr>
          <w:p>
            <w:pPr>
              <w:spacing w:line="320" w:lineRule="exact"/>
              <w:ind w:left="420" w:leftChars="50" w:hanging="315" w:hangingChars="150"/>
              <w:rPr>
                <w:rFonts w:ascii="宋体" w:hAnsi="宋体"/>
                <w:kern w:val="0"/>
                <w:sz w:val="21"/>
                <w:szCs w:val="21"/>
                <w:highlight w:val="none"/>
              </w:rPr>
            </w:pPr>
          </w:p>
        </w:tc>
        <w:tc>
          <w:tcPr>
            <w:tcW w:w="1248" w:type="dxa"/>
            <w:vMerge w:val="continue"/>
            <w:noWrap w:val="0"/>
            <w:vAlign w:val="center"/>
          </w:tcPr>
          <w:p>
            <w:pPr>
              <w:spacing w:line="320" w:lineRule="exact"/>
              <w:jc w:val="center"/>
              <w:rPr>
                <w:rFonts w:ascii="宋体" w:hAnsi="宋体" w:cs="宋体"/>
                <w:bCs/>
                <w:sz w:val="21"/>
                <w:szCs w:val="21"/>
                <w:highlight w:val="none"/>
              </w:rPr>
            </w:pPr>
          </w:p>
        </w:tc>
        <w:tc>
          <w:tcPr>
            <w:tcW w:w="1340" w:type="dxa"/>
            <w:noWrap w:val="0"/>
            <w:vAlign w:val="center"/>
          </w:tcPr>
          <w:p>
            <w:pPr>
              <w:pStyle w:val="5"/>
              <w:spacing w:after="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响应文件编制情况</w:t>
            </w:r>
          </w:p>
          <w:p>
            <w:pPr>
              <w:pStyle w:val="5"/>
              <w:spacing w:after="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w:t>
            </w:r>
          </w:p>
        </w:tc>
        <w:tc>
          <w:tcPr>
            <w:tcW w:w="6201" w:type="dxa"/>
            <w:noWrap w:val="0"/>
            <w:vAlign w:val="center"/>
          </w:tcPr>
          <w:p>
            <w:pPr>
              <w:pStyle w:val="5"/>
              <w:spacing w:after="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响应文件按采购文件规定的格式、顺序编制，有目录、编页码，装订成册，书面整洁无涂改，没有缺漏项，价格数量等计算准确的，计</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分。不符合要求的，每处扣0.5分，扣完为止。</w:t>
            </w:r>
          </w:p>
        </w:tc>
      </w:tr>
      <w:bookmarkEnd w:id="0"/>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745" w:type="dxa"/>
            <w:gridSpan w:val="2"/>
            <w:noWrap w:val="0"/>
            <w:vAlign w:val="center"/>
          </w:tcPr>
          <w:p>
            <w:pPr>
              <w:spacing w:line="320" w:lineRule="exact"/>
              <w:ind w:left="420" w:leftChars="50" w:hanging="315" w:hangingChars="150"/>
              <w:rPr>
                <w:rFonts w:ascii="宋体" w:hAnsi="宋体"/>
                <w:kern w:val="0"/>
                <w:sz w:val="21"/>
                <w:szCs w:val="21"/>
                <w:highlight w:val="none"/>
              </w:rPr>
            </w:pPr>
            <w:r>
              <w:rPr>
                <w:rFonts w:hint="eastAsia" w:ascii="宋体" w:hAnsi="宋体"/>
                <w:kern w:val="0"/>
                <w:sz w:val="21"/>
                <w:szCs w:val="21"/>
                <w:highlight w:val="none"/>
              </w:rPr>
              <w:t>合计</w:t>
            </w:r>
          </w:p>
        </w:tc>
        <w:tc>
          <w:tcPr>
            <w:tcW w:w="1340" w:type="dxa"/>
            <w:noWrap w:val="0"/>
            <w:vAlign w:val="center"/>
          </w:tcPr>
          <w:p>
            <w:pPr>
              <w:spacing w:line="320" w:lineRule="exact"/>
              <w:ind w:left="420" w:leftChars="50" w:hanging="315" w:hangingChars="150"/>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100</w:t>
            </w:r>
            <w:r>
              <w:rPr>
                <w:rFonts w:hint="eastAsia" w:ascii="宋体" w:hAnsi="宋体"/>
                <w:kern w:val="0"/>
                <w:sz w:val="21"/>
                <w:szCs w:val="21"/>
                <w:highlight w:val="none"/>
                <w:lang w:val="en-US" w:eastAsia="zh-CN"/>
              </w:rPr>
              <w:t>分</w:t>
            </w:r>
          </w:p>
        </w:tc>
        <w:tc>
          <w:tcPr>
            <w:tcW w:w="6201" w:type="dxa"/>
            <w:noWrap w:val="0"/>
            <w:vAlign w:val="center"/>
          </w:tcPr>
          <w:p>
            <w:pPr>
              <w:spacing w:line="320" w:lineRule="exact"/>
              <w:ind w:left="420" w:leftChars="50" w:hanging="315" w:hangingChars="150"/>
              <w:rPr>
                <w:rFonts w:ascii="宋体" w:hAnsi="宋体"/>
                <w:kern w:val="0"/>
                <w:sz w:val="21"/>
                <w:szCs w:val="21"/>
                <w:highlight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jlkYmMzYzA2NjJmYzEzM2Y2MjFhZDViODY1OGUifQ=="/>
  </w:docVars>
  <w:rsids>
    <w:rsidRoot w:val="00000000"/>
    <w:rsid w:val="36541A28"/>
    <w:rsid w:val="3FF53E47"/>
    <w:rsid w:val="4B6057DD"/>
    <w:rsid w:val="53285977"/>
    <w:rsid w:val="57402491"/>
    <w:rsid w:val="73C61ADF"/>
    <w:rsid w:val="7BB948FF"/>
    <w:rsid w:val="DFCC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Times New Roman" w:hAnsi="Times New Roman"/>
      <w:b/>
      <w:bCs/>
      <w:kern w:val="0"/>
      <w:sz w:val="24"/>
      <w:szCs w:val="20"/>
    </w:rPr>
  </w:style>
  <w:style w:type="paragraph" w:styleId="2">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next w:val="1"/>
    <w:semiHidden/>
    <w:qFormat/>
    <w:uiPriority w:val="0"/>
    <w:pPr>
      <w:jc w:val="left"/>
    </w:pPr>
    <w:rPr>
      <w:rFonts w:ascii="Times New Roman" w:hAnsi="Times New Roman"/>
      <w:kern w:val="0"/>
      <w:sz w:val="20"/>
    </w:rPr>
  </w:style>
  <w:style w:type="paragraph" w:styleId="5">
    <w:name w:val="Body Text"/>
    <w:basedOn w:val="1"/>
    <w:next w:val="1"/>
    <w:qFormat/>
    <w:uiPriority w:val="0"/>
    <w:pPr>
      <w:spacing w:after="120"/>
    </w:pPr>
    <w:rPr>
      <w:rFonts w:ascii="Times New Roman" w:hAnsi="Times New Roman"/>
      <w:kern w:val="0"/>
      <w:sz w:val="20"/>
    </w:rPr>
  </w:style>
  <w:style w:type="paragraph" w:styleId="6">
    <w:name w:val="Body Text Indent"/>
    <w:basedOn w:val="1"/>
    <w:next w:val="7"/>
    <w:qFormat/>
    <w:uiPriority w:val="0"/>
    <w:pPr>
      <w:spacing w:after="120"/>
      <w:ind w:left="420" w:leftChars="200"/>
    </w:pPr>
    <w:rPr>
      <w:rFonts w:ascii="Times New Roman" w:hAnsi="Times New Roman"/>
      <w:kern w:val="0"/>
      <w:sz w:val="20"/>
    </w:rPr>
  </w:style>
  <w:style w:type="paragraph" w:styleId="7">
    <w:name w:val="annotation subject"/>
    <w:basedOn w:val="4"/>
    <w:next w:val="1"/>
    <w:qFormat/>
    <w:uiPriority w:val="0"/>
    <w:rPr>
      <w:b/>
      <w:bCs/>
    </w:rPr>
  </w:style>
  <w:style w:type="paragraph" w:styleId="8">
    <w:name w:val="Body Text First Indent 2"/>
    <w:basedOn w:val="6"/>
    <w:next w:val="1"/>
    <w:qFormat/>
    <w:uiPriority w:val="99"/>
    <w:pPr>
      <w:ind w:firstLine="420" w:firstLineChars="200"/>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1051</Words>
  <Characters>1075</Characters>
  <Lines>0</Lines>
  <Paragraphs>0</Paragraphs>
  <TotalTime>2</TotalTime>
  <ScaleCrop>false</ScaleCrop>
  <LinksUpToDate>false</LinksUpToDate>
  <CharactersWithSpaces>1075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2024-10-09T16:28:00Z</dcterms:created>
  <dc:creator>Administrator.DESKTOP-JHRAKDR</dc:creator>
  <cp:lastModifiedBy>kylin</cp:lastModifiedBy>
  <dcterms:modified xsi:type="dcterms:W3CDTF">2024-10-21T14:29:03Z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AB3FD5D7AD344D8EB0D7AD7ABC0BF6B3_12</vt:lpwstr>
  </property>
</Properties>
</file>